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9" w:rsidRDefault="00452634">
      <w:pPr>
        <w:pStyle w:val="Textoindependiente"/>
        <w:ind w:left="465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513681" cy="78181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81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99" w:rsidRDefault="00792C99">
      <w:pPr>
        <w:pStyle w:val="Textoindependiente"/>
        <w:spacing w:before="129"/>
        <w:rPr>
          <w:rFonts w:ascii="Times New Roman"/>
          <w:sz w:val="22"/>
        </w:rPr>
      </w:pPr>
    </w:p>
    <w:p w:rsidR="00792C99" w:rsidRDefault="00452634">
      <w:pPr>
        <w:ind w:left="24" w:right="618"/>
        <w:jc w:val="center"/>
        <w:rPr>
          <w:rFonts w:ascii="Times New Roman"/>
          <w:b/>
        </w:rPr>
      </w:pPr>
      <w:r>
        <w:rPr>
          <w:rFonts w:ascii="Times New Roman"/>
          <w:b/>
        </w:rPr>
        <w:t>GOBIERNO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PROVINCIA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BUENOS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2"/>
        </w:rPr>
        <w:t>AIRES</w:t>
      </w:r>
    </w:p>
    <w:p w:rsidR="00792C99" w:rsidRDefault="00452634">
      <w:pPr>
        <w:spacing w:before="2"/>
        <w:ind w:left="25" w:right="6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Año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75°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Aniversario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gratuidad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universitaria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República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Argentina</w:t>
      </w:r>
    </w:p>
    <w:p w:rsidR="00792C99" w:rsidRDefault="00792C99">
      <w:pPr>
        <w:pStyle w:val="Textoindependiente"/>
        <w:spacing w:before="4"/>
        <w:rPr>
          <w:rFonts w:ascii="Times New Roman"/>
          <w:sz w:val="22"/>
        </w:rPr>
      </w:pPr>
    </w:p>
    <w:p w:rsidR="00792C99" w:rsidRDefault="00452634">
      <w:pPr>
        <w:ind w:right="6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Disposición</w:t>
      </w:r>
    </w:p>
    <w:p w:rsidR="00792C99" w:rsidRDefault="00792C99">
      <w:pPr>
        <w:pStyle w:val="Textoindependiente"/>
        <w:spacing w:before="19"/>
        <w:rPr>
          <w:rFonts w:ascii="Times New Roman"/>
          <w:b/>
          <w:sz w:val="22"/>
        </w:rPr>
      </w:pPr>
    </w:p>
    <w:p w:rsidR="00792C99" w:rsidRDefault="00452634">
      <w:pPr>
        <w:spacing w:before="1"/>
        <w:ind w:left="119"/>
        <w:rPr>
          <w:rFonts w:ascii="Times New Roman" w:hAnsi="Times New Roman"/>
        </w:rPr>
      </w:pPr>
      <w:r>
        <w:rPr>
          <w:rFonts w:ascii="Times New Roman" w:hAnsi="Times New Roman"/>
          <w:b/>
        </w:rPr>
        <w:t>Número:</w:t>
      </w:r>
      <w:r>
        <w:rPr>
          <w:rFonts w:ascii="Times New Roman" w:hAnsi="Times New Roman"/>
          <w:b/>
          <w:spacing w:val="79"/>
        </w:rPr>
        <w:t xml:space="preserve"> </w:t>
      </w:r>
      <w:r>
        <w:rPr>
          <w:rFonts w:ascii="Times New Roman" w:hAnsi="Times New Roman"/>
        </w:rPr>
        <w:t>DISPO-2024-43-GDEBA-</w:t>
      </w:r>
      <w:r>
        <w:rPr>
          <w:rFonts w:ascii="Times New Roman" w:hAnsi="Times New Roman"/>
          <w:spacing w:val="-2"/>
        </w:rPr>
        <w:t>DPPJMJYDHGP</w:t>
      </w:r>
    </w:p>
    <w:p w:rsidR="00792C99" w:rsidRDefault="00792C99">
      <w:pPr>
        <w:pStyle w:val="Textoindependiente"/>
        <w:spacing w:before="68"/>
        <w:rPr>
          <w:rFonts w:ascii="Times New Roman"/>
          <w:sz w:val="22"/>
        </w:rPr>
      </w:pPr>
    </w:p>
    <w:p w:rsidR="00792C99" w:rsidRDefault="00452634">
      <w:pPr>
        <w:spacing w:before="1"/>
        <w:ind w:right="740"/>
        <w:jc w:val="right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PLATA,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BUENOS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AIRES</w:t>
      </w:r>
    </w:p>
    <w:p w:rsidR="00792C99" w:rsidRDefault="00452634">
      <w:pPr>
        <w:spacing w:before="47"/>
        <w:ind w:right="729"/>
        <w:jc w:val="right"/>
        <w:rPr>
          <w:rFonts w:ascii="Times New Roman"/>
        </w:rPr>
      </w:pPr>
      <w:r>
        <w:rPr>
          <w:rFonts w:ascii="Times New Roman"/>
        </w:rPr>
        <w:t>Viernes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Mayo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4"/>
        </w:rPr>
        <w:t>2024</w:t>
      </w:r>
    </w:p>
    <w:p w:rsidR="00792C99" w:rsidRDefault="00792C99">
      <w:pPr>
        <w:pStyle w:val="Textoindependiente"/>
        <w:spacing w:before="13"/>
        <w:rPr>
          <w:rFonts w:ascii="Times New Roman"/>
          <w:sz w:val="22"/>
        </w:rPr>
      </w:pPr>
    </w:p>
    <w:p w:rsidR="00792C99" w:rsidRDefault="00452634">
      <w:pPr>
        <w:ind w:left="119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Referencia: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</w:rPr>
        <w:t>Disposición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Sociedades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Acciones-Estados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Contables</w:t>
      </w:r>
    </w:p>
    <w:p w:rsidR="00792C99" w:rsidRDefault="00452634">
      <w:pPr>
        <w:pStyle w:val="Textoindependiente"/>
        <w:spacing w:before="2"/>
        <w:rPr>
          <w:rFonts w:ascii="Times New Roman"/>
          <w:sz w:val="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75093</wp:posOffset>
                </wp:positionV>
                <wp:extent cx="6276975" cy="190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6975" cy="19050"/>
                          <a:chOff x="0" y="0"/>
                          <a:chExt cx="627697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7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975" h="9525">
                                <a:moveTo>
                                  <a:pt x="6276975" y="0"/>
                                </a:moveTo>
                                <a:lnTo>
                                  <a:pt x="0" y="0"/>
                                </a:lnTo>
                                <a:lnTo>
                                  <a:pt x="9525" y="9525"/>
                                </a:lnTo>
                                <a:lnTo>
                                  <a:pt x="6267450" y="9525"/>
                                </a:lnTo>
                                <a:lnTo>
                                  <a:pt x="6276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525"/>
                            <a:ext cx="627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975" h="9525">
                                <a:moveTo>
                                  <a:pt x="62674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25"/>
                                </a:lnTo>
                                <a:lnTo>
                                  <a:pt x="6276975" y="9525"/>
                                </a:lnTo>
                                <a:lnTo>
                                  <a:pt x="6267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26745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pt;margin-top:5.91289pt;width:494.25pt;height:1.5pt;mso-position-horizontal-relative:page;mso-position-vertical-relative:paragraph;z-index:-15728640;mso-wrap-distance-left:0;mso-wrap-distance-right:0" id="docshapegroup1" coordorigin="1400,118" coordsize="9885,30">
                <v:shape style="position:absolute;left:1400;top:118;width:9885;height:15" id="docshape2" coordorigin="1400,118" coordsize="9885,15" path="m11285,118l1400,118,1415,133,11270,133,11285,118xe" filled="true" fillcolor="#9b9b9b" stroked="false">
                  <v:path arrowok="t"/>
                  <v:fill type="solid"/>
                </v:shape>
                <v:shape style="position:absolute;left:1400;top:133;width:9885;height:15" id="docshape3" coordorigin="1400,133" coordsize="9885,15" path="m11270,133l1415,133,1400,148,11285,148,11270,133xe" filled="true" fillcolor="#eeeeee" stroked="false">
                  <v:path arrowok="t"/>
                  <v:fill type="solid"/>
                </v:shape>
                <v:shape style="position:absolute;left:1400;top:118;width:15;height:30" id="docshape4" coordorigin="1400,118" coordsize="15,30" path="m1400,118l1400,148,1415,133,1400,118xe" filled="true" fillcolor="#9b9b9b" stroked="false">
                  <v:path arrowok="t"/>
                  <v:fill type="solid"/>
                </v:shape>
                <v:shape style="position:absolute;left:11270;top:118;width:15;height:30" id="docshape5" coordorigin="11270,118" coordsize="15,30" path="m11285,118l11270,133,11270,148,11285,148,11285,118xe" filled="true" fillcolor="#eeeeee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792C99" w:rsidRDefault="00792C99">
      <w:pPr>
        <w:pStyle w:val="Textoindependiente"/>
        <w:spacing w:before="121"/>
        <w:rPr>
          <w:rFonts w:ascii="Times New Roman"/>
          <w:sz w:val="22"/>
        </w:rPr>
      </w:pPr>
    </w:p>
    <w:p w:rsidR="00792C99" w:rsidRDefault="00452634">
      <w:pPr>
        <w:pStyle w:val="Textoindependiente"/>
        <w:spacing w:line="247" w:lineRule="auto"/>
        <w:ind w:left="120"/>
      </w:pPr>
      <w:r>
        <w:rPr>
          <w:b/>
        </w:rPr>
        <w:t xml:space="preserve">VISTO </w:t>
      </w:r>
      <w:r>
        <w:t>la</w:t>
      </w:r>
      <w:r>
        <w:rPr>
          <w:spacing w:val="-1"/>
        </w:rPr>
        <w:t xml:space="preserve"> </w:t>
      </w:r>
      <w:r>
        <w:t>sección IX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19.550</w:t>
      </w:r>
      <w:r>
        <w:rPr>
          <w:spacing w:val="-8"/>
        </w:rPr>
        <w:t xml:space="preserve"> </w:t>
      </w:r>
      <w:r>
        <w:t>(T.O.</w:t>
      </w:r>
      <w:r>
        <w:rPr>
          <w:spacing w:val="-1"/>
        </w:rPr>
        <w:t xml:space="preserve"> </w:t>
      </w:r>
      <w:r>
        <w:t>1984)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Decreto Ley</w:t>
      </w:r>
      <w:r>
        <w:rPr>
          <w:spacing w:val="-6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8671/76</w:t>
      </w:r>
      <w:r>
        <w:rPr>
          <w:spacing w:val="-7"/>
        </w:rPr>
        <w:t xml:space="preserve"> </w:t>
      </w:r>
      <w:r>
        <w:t>(T.O.</w:t>
      </w:r>
      <w:r>
        <w:rPr>
          <w:spacing w:val="-1"/>
        </w:rPr>
        <w:t xml:space="preserve"> </w:t>
      </w:r>
      <w:r>
        <w:t>Decreto 8525/86), y;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tulo1"/>
        <w:jc w:val="left"/>
        <w:rPr>
          <w:b w:val="0"/>
        </w:rPr>
      </w:pPr>
      <w:r>
        <w:rPr>
          <w:spacing w:val="-2"/>
        </w:rPr>
        <w:t>CONSIDERANDO</w:t>
      </w:r>
      <w:r>
        <w:rPr>
          <w:b w:val="0"/>
          <w:spacing w:val="-2"/>
        </w:rPr>
        <w:t>: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22"/>
      </w:pPr>
    </w:p>
    <w:p w:rsidR="00792C99" w:rsidRDefault="00452634">
      <w:pPr>
        <w:pStyle w:val="Textoindependiente"/>
        <w:spacing w:line="247" w:lineRule="auto"/>
        <w:ind w:left="120" w:right="102"/>
        <w:jc w:val="both"/>
      </w:pPr>
      <w:r>
        <w:t>Que, el Decreto Ley N° 8671/76 y su Decreto Reglamentario N° 284/77 facultan a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Directora Provincial de Personas Jurídicas a dictar disposiciones de carácter general, para determinar</w:t>
      </w:r>
      <w:r>
        <w:rPr>
          <w:spacing w:val="-1"/>
        </w:rPr>
        <w:t xml:space="preserve"> </w:t>
      </w:r>
      <w:r>
        <w:t>la forma y modo</w:t>
      </w:r>
      <w:r>
        <w:rPr>
          <w:spacing w:val="20"/>
        </w:rPr>
        <w:t xml:space="preserve"> </w:t>
      </w:r>
      <w:r>
        <w:t>en que los administrados deben cumplimentar</w:t>
      </w:r>
      <w:r>
        <w:rPr>
          <w:spacing w:val="20"/>
        </w:rPr>
        <w:t xml:space="preserve"> </w:t>
      </w:r>
      <w:r>
        <w:t>los requisi</w:t>
      </w:r>
      <w:r>
        <w:t>tos legales para proceder a la legitimación y posterior registración de sus actos sociales, como</w:t>
      </w:r>
      <w:r>
        <w:rPr>
          <w:spacing w:val="40"/>
        </w:rPr>
        <w:t xml:space="preserve"> </w:t>
      </w:r>
      <w:r>
        <w:t xml:space="preserve">así también a su </w:t>
      </w:r>
      <w:r>
        <w:rPr>
          <w:spacing w:val="-2"/>
        </w:rPr>
        <w:t>fiscalización.</w:t>
      </w:r>
    </w:p>
    <w:p w:rsidR="00792C99" w:rsidRDefault="00452634">
      <w:pPr>
        <w:pStyle w:val="Textoindependiente"/>
        <w:spacing w:before="244" w:line="247" w:lineRule="auto"/>
        <w:ind w:left="120" w:right="99"/>
        <w:jc w:val="both"/>
      </w:pPr>
      <w:r>
        <w:t>Que se ha sometido a consideración la posibilidad de incluir dentro de la órbita de</w:t>
      </w:r>
      <w:r>
        <w:rPr>
          <w:spacing w:val="-5"/>
        </w:rPr>
        <w:t xml:space="preserve"> </w:t>
      </w:r>
      <w:r>
        <w:t>control administrativo, a todas aquellas sociedades por acciones no comprendidas dentro de</w:t>
      </w:r>
      <w:r>
        <w:rPr>
          <w:spacing w:val="-5"/>
        </w:rPr>
        <w:t xml:space="preserve"> </w:t>
      </w:r>
      <w:r>
        <w:t>las previsiones del artículo 299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Sociedades</w:t>
      </w:r>
      <w:r>
        <w:rPr>
          <w:spacing w:val="-3"/>
        </w:rPr>
        <w:t xml:space="preserve"> </w:t>
      </w:r>
      <w:r>
        <w:t>19.550, 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entendimiento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por su número y por la gravitación que las mismas representan para l</w:t>
      </w:r>
      <w:r>
        <w:t>a</w:t>
      </w:r>
      <w:r>
        <w:rPr>
          <w:spacing w:val="-1"/>
        </w:rPr>
        <w:t xml:space="preserve"> </w:t>
      </w:r>
      <w:r>
        <w:t>economía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 de Buenos Aires, se torna necesario para el Estado Provincial poseer un registro actualizado</w:t>
      </w:r>
      <w:r>
        <w:rPr>
          <w:spacing w:val="-7"/>
        </w:rPr>
        <w:t xml:space="preserve"> </w:t>
      </w:r>
      <w:r>
        <w:t>de aquellas, no</w:t>
      </w:r>
      <w:r>
        <w:rPr>
          <w:spacing w:val="-6"/>
        </w:rPr>
        <w:t xml:space="preserve"> </w:t>
      </w:r>
      <w:r>
        <w:t>solamente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atañe 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existencia,</w:t>
      </w:r>
      <w:r>
        <w:rPr>
          <w:spacing w:val="-4"/>
        </w:rPr>
        <w:t xml:space="preserve"> </w:t>
      </w:r>
      <w:r>
        <w:t>sino también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efectivo funcionamiento. Así pues, la obligatoriedad respec</w:t>
      </w:r>
      <w:r>
        <w:t>to de la presentación de documentación anual para dichas sociedades en esta sede administrativa, otorgará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 central una</w:t>
      </w:r>
      <w:r>
        <w:rPr>
          <w:spacing w:val="-5"/>
        </w:rPr>
        <w:t xml:space="preserve"> </w:t>
      </w:r>
      <w:r>
        <w:t>herramienta más a los efectos de obtener estadísticas en la materia, y llegado el caso, planificar medidas específicas</w:t>
      </w:r>
      <w:r>
        <w:t xml:space="preserve"> para el</w:t>
      </w:r>
      <w:r>
        <w:rPr>
          <w:spacing w:val="-1"/>
        </w:rPr>
        <w:t xml:space="preserve"> </w:t>
      </w:r>
      <w:r>
        <w:t>sector, teniendo en</w:t>
      </w:r>
      <w:r>
        <w:rPr>
          <w:spacing w:val="-6"/>
        </w:rPr>
        <w:t xml:space="preserve"> </w:t>
      </w:r>
      <w:r>
        <w:t>cuenta que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 de</w:t>
      </w:r>
      <w:r>
        <w:rPr>
          <w:spacing w:val="-6"/>
        </w:rPr>
        <w:t xml:space="preserve"> </w:t>
      </w:r>
      <w:r>
        <w:t>sociedades</w:t>
      </w:r>
      <w:r>
        <w:rPr>
          <w:spacing w:val="-8"/>
        </w:rPr>
        <w:t xml:space="preserve"> </w:t>
      </w:r>
      <w:r>
        <w:t>–o</w:t>
      </w:r>
      <w:r>
        <w:rPr>
          <w:spacing w:val="-6"/>
        </w:rPr>
        <w:t xml:space="preserve"> </w:t>
      </w:r>
      <w:r>
        <w:t>empresas- activas implica un indicador de la dinámica de la economía.</w:t>
      </w:r>
    </w:p>
    <w:p w:rsidR="00792C99" w:rsidRDefault="00452634">
      <w:pPr>
        <w:spacing w:before="247" w:line="247" w:lineRule="auto"/>
        <w:ind w:left="120" w:right="103"/>
        <w:jc w:val="both"/>
        <w:rPr>
          <w:i/>
          <w:sz w:val="24"/>
        </w:rPr>
      </w:pPr>
      <w:r>
        <w:rPr>
          <w:sz w:val="24"/>
        </w:rPr>
        <w:t>Que el artículo 67 de la Ley General de Sociedades Nº 19.550, de naturaleza</w:t>
      </w:r>
      <w:r>
        <w:rPr>
          <w:spacing w:val="-4"/>
          <w:sz w:val="24"/>
        </w:rPr>
        <w:t xml:space="preserve"> </w:t>
      </w:r>
      <w:r>
        <w:rPr>
          <w:sz w:val="24"/>
        </w:rPr>
        <w:t>federal, prevé textualmente lo siguiente: “</w:t>
      </w:r>
      <w:r>
        <w:rPr>
          <w:i/>
          <w:sz w:val="24"/>
        </w:rPr>
        <w:t>En la sede social deben quedar copias del balance, del estado de resultados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ejercicio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evolución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patrimonio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notas,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informaciones</w:t>
      </w:r>
    </w:p>
    <w:p w:rsidR="00792C99" w:rsidRDefault="00792C99">
      <w:pPr>
        <w:spacing w:line="247" w:lineRule="auto"/>
        <w:jc w:val="both"/>
        <w:rPr>
          <w:sz w:val="24"/>
        </w:rPr>
        <w:sectPr w:rsidR="00792C99">
          <w:type w:val="continuous"/>
          <w:pgSz w:w="12240" w:h="15840"/>
          <w:pgMar w:top="1540" w:right="240" w:bottom="280" w:left="1280" w:header="720" w:footer="720" w:gutter="0"/>
          <w:cols w:space="720"/>
        </w:sectPr>
      </w:pPr>
    </w:p>
    <w:p w:rsidR="00792C99" w:rsidRDefault="00452634">
      <w:pPr>
        <w:spacing w:before="70" w:line="247" w:lineRule="auto"/>
        <w:ind w:left="120" w:right="100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complementarias</w:t>
      </w:r>
      <w:proofErr w:type="gramEnd"/>
      <w:r>
        <w:rPr>
          <w:i/>
          <w:sz w:val="24"/>
        </w:rPr>
        <w:t xml:space="preserve"> y cuadros anexos a disposición de los socios 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accionistas 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menos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15 (quince) días de anticipación a su consideración por ellos. Cuando corresponda, también se mantendrán a su disposición copia de la memoria del directorio o de los administradores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del informe de los síndicos. Dentro de los quince (15) días de </w:t>
      </w:r>
      <w:r>
        <w:rPr>
          <w:i/>
          <w:sz w:val="24"/>
        </w:rPr>
        <w:t>su aprobación,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las sociedades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 responsabilidad limitada cuyo capital alcance el importe fijado por artículo 299, inciso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deben remitir al Registro Público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Comercio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ejemplar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documentos.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Cuando se trate de una sociedad por acciones, se remitirá un ejemplar a la autoridad de contralor 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 caso, del balance consolidado</w:t>
      </w:r>
      <w:r>
        <w:rPr>
          <w:sz w:val="24"/>
        </w:rPr>
        <w:t>”.</w:t>
      </w:r>
    </w:p>
    <w:p w:rsidR="00792C99" w:rsidRDefault="00452634">
      <w:pPr>
        <w:pStyle w:val="Textoindependiente"/>
        <w:spacing w:before="245" w:line="247" w:lineRule="auto"/>
        <w:ind w:left="120" w:right="98"/>
        <w:jc w:val="both"/>
      </w:pPr>
      <w:r>
        <w:t xml:space="preserve">Que específicamente, el Decreto–Ley 8671/76 denominado </w:t>
      </w:r>
      <w:r>
        <w:rPr>
          <w:i/>
        </w:rPr>
        <w:t xml:space="preserve">“Policía en Materia Societaria”, </w:t>
      </w:r>
      <w:r>
        <w:t>conforme su texto ordenado po</w:t>
      </w:r>
      <w:r>
        <w:t>r el Decreto 8525/86 dispone en su</w:t>
      </w:r>
      <w:r>
        <w:rPr>
          <w:spacing w:val="-8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3º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competencia de la Dirección Provincial de Personas Jurídicas de la Provincia de Buenos Aires,</w:t>
      </w:r>
      <w:r>
        <w:rPr>
          <w:spacing w:val="-8"/>
        </w:rPr>
        <w:t xml:space="preserve"> </w:t>
      </w:r>
      <w:r>
        <w:t>comprende,</w:t>
      </w:r>
      <w:r>
        <w:rPr>
          <w:spacing w:val="-1"/>
        </w:rPr>
        <w:t xml:space="preserve"> </w:t>
      </w:r>
      <w:r>
        <w:t>en materia de fiscalización y en materia de sociedades por acciones, el examen de</w:t>
      </w:r>
      <w:r>
        <w:rPr>
          <w:spacing w:val="-5"/>
        </w:rPr>
        <w:t xml:space="preserve"> </w:t>
      </w:r>
      <w:r>
        <w:t>concretas y det</w:t>
      </w:r>
      <w:r>
        <w:t>erminas actuaciones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operaciones societarias,</w:t>
      </w:r>
      <w:r>
        <w:rPr>
          <w:spacing w:val="-8"/>
        </w:rPr>
        <w:t xml:space="preserve"> </w:t>
      </w:r>
      <w:r>
        <w:t>como lo</w:t>
      </w:r>
      <w:r>
        <w:rPr>
          <w:spacing w:val="-2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control 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integración total de los aportes no dinerarios en el acto constitutivo</w:t>
      </w:r>
      <w:r>
        <w:rPr>
          <w:spacing w:val="20"/>
        </w:rPr>
        <w:t xml:space="preserve"> </w:t>
      </w:r>
      <w:r>
        <w:t>o al tiempo</w:t>
      </w:r>
      <w:r>
        <w:rPr>
          <w:spacing w:val="20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inscripción, según</w:t>
      </w:r>
      <w:r>
        <w:rPr>
          <w:spacing w:val="-3"/>
        </w:rPr>
        <w:t xml:space="preserve"> </w:t>
      </w:r>
      <w:r>
        <w:t>corresponda; la fiscalización de las variaciones del capital; la aprobac</w:t>
      </w:r>
      <w:r>
        <w:t>ión de la valuación de los aportes en especie</w:t>
      </w:r>
      <w:r>
        <w:rPr>
          <w:spacing w:val="19"/>
        </w:rPr>
        <w:t xml:space="preserve"> </w:t>
      </w:r>
      <w:r>
        <w:t>no corrientes en plaza y designar los peritos</w:t>
      </w:r>
      <w:r>
        <w:rPr>
          <w:spacing w:val="20"/>
        </w:rPr>
        <w:t xml:space="preserve"> </w:t>
      </w:r>
      <w:r>
        <w:t>necesarios; controlar en</w:t>
      </w:r>
      <w:r>
        <w:rPr>
          <w:spacing w:val="-6"/>
        </w:rPr>
        <w:t xml:space="preserve"> </w:t>
      </w:r>
      <w:r>
        <w:t>formar permanente a aquellas sociedades sometidas por disposiciones de leyes de fondo, así como, en los caso previstos en las leyes de fond</w:t>
      </w:r>
      <w:r>
        <w:t>o,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sometidas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control permanente mientras subsistan las causas que la originan, etc.</w:t>
      </w:r>
    </w:p>
    <w:p w:rsidR="00792C99" w:rsidRDefault="00452634">
      <w:pPr>
        <w:pStyle w:val="Textoindependiente"/>
        <w:spacing w:before="247" w:line="247" w:lineRule="auto"/>
        <w:ind w:left="119" w:right="106"/>
        <w:jc w:val="both"/>
      </w:pPr>
      <w:r>
        <w:t>Que así, resulta que para el cumplimiento de ese mandato es necesario tener en</w:t>
      </w:r>
      <w:r>
        <w:rPr>
          <w:spacing w:val="-5"/>
        </w:rPr>
        <w:t xml:space="preserve"> </w:t>
      </w:r>
      <w:r>
        <w:t>cuenta los estados</w:t>
      </w:r>
      <w:r>
        <w:rPr>
          <w:spacing w:val="20"/>
        </w:rPr>
        <w:t xml:space="preserve"> </w:t>
      </w:r>
      <w:r>
        <w:t>anuales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sociedad, elaborados</w:t>
      </w:r>
      <w:r>
        <w:rPr>
          <w:spacing w:val="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lo previsto</w:t>
      </w:r>
      <w:r>
        <w:rPr>
          <w:spacing w:val="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 61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66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5"/>
        </w:rPr>
        <w:t>ley</w:t>
      </w:r>
    </w:p>
    <w:p w:rsidR="00792C99" w:rsidRDefault="00452634">
      <w:pPr>
        <w:pStyle w:val="Textoindependiente"/>
        <w:spacing w:before="1" w:line="247" w:lineRule="auto"/>
        <w:ind w:left="119" w:right="106"/>
        <w:jc w:val="both"/>
      </w:pPr>
      <w:r>
        <w:t>19.550 y en tal sentido, se explica que el referido artículo 67 de la misma normativa,</w:t>
      </w:r>
      <w:r>
        <w:rPr>
          <w:spacing w:val="-3"/>
        </w:rPr>
        <w:t xml:space="preserve"> </w:t>
      </w:r>
      <w:r>
        <w:t>prevé la obligaciones de las sociedades por acciones de acompañar a la</w:t>
      </w:r>
      <w:r>
        <w:rPr>
          <w:spacing w:val="-1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 externo los ejemplares de dichos estados contables.</w:t>
      </w:r>
    </w:p>
    <w:p w:rsidR="00792C99" w:rsidRDefault="00452634">
      <w:pPr>
        <w:pStyle w:val="Textoindependiente"/>
        <w:spacing w:before="242" w:line="247" w:lineRule="auto"/>
        <w:ind w:left="119" w:right="99"/>
        <w:jc w:val="both"/>
      </w:pPr>
      <w:r>
        <w:t>Que no debe olvidarse que la fiscalización estatal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sociedad,</w:t>
      </w:r>
      <w:r>
        <w:rPr>
          <w:spacing w:val="-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trata a</w:t>
      </w:r>
      <w:r>
        <w:rPr>
          <w:spacing w:val="-8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 examen</w:t>
      </w:r>
      <w:r>
        <w:rPr>
          <w:spacing w:val="-8"/>
        </w:rPr>
        <w:t xml:space="preserve"> </w:t>
      </w:r>
      <w:r>
        <w:t>de sus estados contables, y que está inspirado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interés general y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necesidad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preservar</w:t>
      </w:r>
      <w:r>
        <w:rPr>
          <w:spacing w:val="-3"/>
        </w:rPr>
        <w:t xml:space="preserve"> </w:t>
      </w:r>
      <w:r>
        <w:t>y custodiar la legalidad en el tráfico mercantil nacional.</w:t>
      </w:r>
    </w:p>
    <w:p w:rsidR="00792C99" w:rsidRDefault="00452634">
      <w:pPr>
        <w:pStyle w:val="Textoindependiente"/>
        <w:spacing w:before="243" w:line="247" w:lineRule="auto"/>
        <w:ind w:left="119" w:right="101"/>
        <w:jc w:val="both"/>
      </w:pPr>
      <w:r>
        <w:t>Que</w:t>
      </w:r>
      <w:r>
        <w:rPr>
          <w:spacing w:val="40"/>
        </w:rPr>
        <w:t xml:space="preserve"> </w:t>
      </w:r>
      <w:r>
        <w:t>en tal entendimiento, las</w:t>
      </w:r>
      <w:r>
        <w:rPr>
          <w:spacing w:val="40"/>
        </w:rPr>
        <w:t xml:space="preserve"> </w:t>
      </w:r>
      <w:r>
        <w:t>facultades fiscalizadoras del</w:t>
      </w:r>
      <w:r>
        <w:rPr>
          <w:spacing w:val="40"/>
        </w:rPr>
        <w:t xml:space="preserve"> </w:t>
      </w:r>
      <w:r>
        <w:t>Organismo</w:t>
      </w:r>
      <w:r>
        <w:rPr>
          <w:spacing w:val="40"/>
        </w:rPr>
        <w:t xml:space="preserve"> </w:t>
      </w:r>
      <w:r>
        <w:t>de Control –</w:t>
      </w:r>
      <w:r>
        <w:rPr>
          <w:spacing w:val="-7"/>
        </w:rPr>
        <w:t xml:space="preserve"> </w:t>
      </w:r>
      <w:r>
        <w:t>como lo</w:t>
      </w:r>
      <w:r>
        <w:rPr>
          <w:spacing w:val="-1"/>
        </w:rPr>
        <w:t xml:space="preserve"> </w:t>
      </w:r>
      <w:r>
        <w:t>es esta Dirección Provincial de Personas Jurídicas – se fundan en el</w:t>
      </w:r>
      <w:r>
        <w:rPr>
          <w:spacing w:val="-1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que reviste la obligación de todo comerciante – ya fuere éste una persona humana o</w:t>
      </w:r>
      <w:r>
        <w:rPr>
          <w:spacing w:val="-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 jurídica – de tener una contabilidad mercantil organizada sobre una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uniforme,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que resulte un cuadro verídico de sus negocios y una justificac</w:t>
      </w:r>
      <w:r>
        <w:t>ión</w:t>
      </w:r>
      <w:r>
        <w:rPr>
          <w:spacing w:val="-5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para todos y</w:t>
      </w:r>
      <w:r>
        <w:rPr>
          <w:spacing w:val="-9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 los actos susceptibles de</w:t>
      </w:r>
      <w:r>
        <w:rPr>
          <w:spacing w:val="-7"/>
        </w:rPr>
        <w:t xml:space="preserve"> </w:t>
      </w:r>
      <w:r>
        <w:t>registración</w:t>
      </w:r>
      <w:r>
        <w:rPr>
          <w:spacing w:val="-6"/>
        </w:rPr>
        <w:t xml:space="preserve"> </w:t>
      </w:r>
      <w:r>
        <w:t>contable,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complementarse con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 respectiva. Esta obligación, de cumplimiento imperativo, y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observancia está interesado</w:t>
      </w:r>
      <w:r>
        <w:rPr>
          <w:spacing w:val="-5"/>
        </w:rPr>
        <w:t xml:space="preserve"> </w:t>
      </w:r>
      <w:r>
        <w:t>el interés general, se encontra</w:t>
      </w:r>
      <w:r>
        <w:t>ba ya previsto por el Código de Comercio (art. 43) y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 expresamente contemplado por los artículos 320 y 321</w:t>
      </w:r>
      <w:r>
        <w:rPr>
          <w:spacing w:val="-5"/>
        </w:rPr>
        <w:t xml:space="preserve"> </w:t>
      </w:r>
      <w:r>
        <w:t>del Código</w:t>
      </w:r>
      <w:r>
        <w:rPr>
          <w:spacing w:val="-5"/>
        </w:rPr>
        <w:t xml:space="preserve"> </w:t>
      </w:r>
      <w:r>
        <w:t>Civil y</w:t>
      </w:r>
      <w:r>
        <w:rPr>
          <w:spacing w:val="-9"/>
        </w:rPr>
        <w:t xml:space="preserve"> </w:t>
      </w:r>
      <w:r>
        <w:t>Comercial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Nación, hoy vigente.</w:t>
      </w:r>
    </w:p>
    <w:p w:rsidR="00792C99" w:rsidRDefault="00452634">
      <w:pPr>
        <w:spacing w:before="246" w:line="247" w:lineRule="auto"/>
        <w:ind w:left="119" w:right="99"/>
        <w:jc w:val="both"/>
        <w:rPr>
          <w:i/>
          <w:sz w:val="24"/>
        </w:rPr>
      </w:pPr>
      <w:r>
        <w:rPr>
          <w:sz w:val="24"/>
        </w:rPr>
        <w:t>Que, precisamente, la carga de la sociedad comercial de llevar regularmente sus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stados contables, ha sido ratificado infinidad de veces por la jurisprudencia nacional y en</w:t>
      </w:r>
      <w:r>
        <w:rPr>
          <w:spacing w:val="-5"/>
          <w:sz w:val="24"/>
        </w:rPr>
        <w:t xml:space="preserve"> </w:t>
      </w:r>
      <w:r>
        <w:rPr>
          <w:sz w:val="24"/>
        </w:rPr>
        <w:t>especial respecto de las sociedades anónimas, habiéndose resuelto que: “</w:t>
      </w:r>
      <w:r>
        <w:rPr>
          <w:b/>
          <w:i/>
          <w:sz w:val="24"/>
        </w:rPr>
        <w:t>El balance, que tiene importancia en cualquier empresa, cobra especial significado 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 soc</w:t>
      </w:r>
      <w:r>
        <w:rPr>
          <w:b/>
          <w:i/>
          <w:sz w:val="24"/>
        </w:rPr>
        <w:t>iedad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anónima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para los socios y terceros, por su triple función de a) Hacer conocer el estado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patrimonial 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 sociedad; b) Asegurar la integridad del capital con la realización de amortización y formación de reservas etc. y c) Dar a conocer los negocios sociales y sus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consecuencias: la distribución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utilidades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pérdidas</w:t>
      </w:r>
      <w:r>
        <w:rPr>
          <w:b/>
          <w:sz w:val="24"/>
        </w:rPr>
        <w:t>”</w:t>
      </w:r>
      <w:r>
        <w:rPr>
          <w:b/>
          <w:spacing w:val="-8"/>
          <w:sz w:val="24"/>
        </w:rPr>
        <w:t xml:space="preserve"> </w:t>
      </w:r>
      <w:r>
        <w:rPr>
          <w:i/>
          <w:sz w:val="24"/>
        </w:rPr>
        <w:t>(CNCom, Sala E, Agosto 23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2018, “I</w:t>
      </w:r>
      <w:r>
        <w:rPr>
          <w:i/>
          <w:sz w:val="24"/>
        </w:rPr>
        <w:t>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SA contra Trasloa SA sobre ordinario, Incidente art. 250 del Código Procesal”; ídem, Sala B, Noviembre 23 de 2021,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“Palmeiro Guillermo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César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Parador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Norte SA sobre ordinario”; ídem, Sala B, Abril</w:t>
      </w:r>
    </w:p>
    <w:p w:rsidR="00792C99" w:rsidRDefault="00792C99">
      <w:pPr>
        <w:spacing w:line="247" w:lineRule="auto"/>
        <w:jc w:val="both"/>
        <w:rPr>
          <w:sz w:val="24"/>
        </w:rPr>
        <w:sectPr w:rsidR="00792C99">
          <w:pgSz w:w="12240" w:h="15840"/>
          <w:pgMar w:top="440" w:right="240" w:bottom="280" w:left="1280" w:header="720" w:footer="720" w:gutter="0"/>
          <w:cols w:space="720"/>
        </w:sectPr>
      </w:pPr>
    </w:p>
    <w:p w:rsidR="00792C99" w:rsidRDefault="00452634">
      <w:pPr>
        <w:spacing w:before="70" w:line="247" w:lineRule="auto"/>
        <w:ind w:left="120" w:right="100"/>
        <w:jc w:val="both"/>
        <w:rPr>
          <w:i/>
          <w:sz w:val="24"/>
        </w:rPr>
      </w:pPr>
      <w:r>
        <w:rPr>
          <w:i/>
          <w:sz w:val="24"/>
        </w:rPr>
        <w:lastRenderedPageBreak/>
        <w:t>26 de 1999 “Arias de Gamba Herminia con</w:t>
      </w:r>
      <w:r>
        <w:rPr>
          <w:i/>
          <w:sz w:val="24"/>
        </w:rPr>
        <w:t>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Gamver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Gas SA 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otros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sobre sumario”;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ídem, Sala A, Julio 11 de 1996 “Minetti y Cía. SA sobre incumplimiento y presentación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balance ante la CNV”; ídem, Sala B, Marzo 12 de 1999 “Lareo Pedreira, Claudina 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Justo 1130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 y otro sobre medida precautoria”; ídem, Sala B, Julio 29 de 2005, “Aitken Cleide Beatriz contra Tecnológicos Argentinos E.T.A. SA sobre ordinario sobre Incidente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apelación”; ídem, Sala A, Octubre 24 de 1995 “Comisión Nacional de Valores contra Produc</w:t>
      </w:r>
      <w:r>
        <w:rPr>
          <w:i/>
          <w:sz w:val="24"/>
        </w:rPr>
        <w:t>tos Solvar SA sobre cumplimiento presentación de balances”; ídem, Sala B, Septiembre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“Liberman Raquel Luisa y otros contra Denver SRL sobre medidas precautorias”; ídem, Sala C, Noviembre 28 de 2003 “Inspección General de Justicia contra Gradeu S</w:t>
      </w:r>
      <w:r>
        <w:rPr>
          <w:i/>
          <w:sz w:val="24"/>
        </w:rPr>
        <w:t>A”; ídem, Sala B, Octubre 14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2011 “Palmeiro Guillermo César contra Parador Norte SA sobre medida precautoria”; ídem, Sala B, Noviembre 14 de 2012, “South American Energy Development SA contra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FIDES 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 sobre medida precautoria, Incidente de apelaci</w:t>
      </w:r>
      <w:r>
        <w:rPr>
          <w:i/>
          <w:sz w:val="24"/>
        </w:rPr>
        <w:t>ón”; ídem, Sala B, Mayo 24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2001, Armanino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Leopoldo contra Colegio del Árbol SA y otros sobre sumario”; ídem, Sala C,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Agosto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2003, “Comisión Nacional de Valores contra Plusdiner SA”; ídem Sala E, Noviembre 1º de 2002, “Comisión Nacional de Valores c</w:t>
      </w:r>
      <w:r>
        <w:rPr>
          <w:i/>
          <w:sz w:val="24"/>
        </w:rPr>
        <w:t>ontra Zanella Hnos. y Cía. SA”; ídem, Sala B, Agosto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2000, “García Ernesto Claudio contra Aucom SA sobre sumario”;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ídem, Sala B, Noviembre 29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2006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“Heraldo de Simes Martha Olga y otro contra Simes Alfredo Antonio y otros sobre sumario”; ídem, Sala</w:t>
      </w:r>
      <w:r>
        <w:rPr>
          <w:i/>
          <w:sz w:val="24"/>
        </w:rPr>
        <w:t xml:space="preserve"> B, Junio 21 de 1996, “Superintendencia de Seguros de la Nación contra La Rectora Cía. Arg. de Seguros SA”; ídem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Sala E, Abril 26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1996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“Banco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Medefin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SA”; ídem, Sala A, Septiembre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 1995, “Astarsa SA sobre quebrantos impositivos”; ídem, Sala C, Febr</w:t>
      </w:r>
      <w:r>
        <w:rPr>
          <w:i/>
          <w:sz w:val="24"/>
        </w:rPr>
        <w:t>ero 28 de 1994 “Tucson SACIFI y A sobre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quiebra, Incidente de calificación de conducta”; ídem, Sala A, Febrero 21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 1996 “Vázquez Iglesias Hugo y otro contra Aragón Valera SA y otros sobre sumario”; ídem, Sala B, Diciembre 29 de 2000, “Schetman Irene Noemí contra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Científica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Jacobo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Rapaport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SA sobre medida precautoria”; ídem, Sala B, Abril 19 de 2010, “Coma´s </w:t>
      </w:r>
      <w:r>
        <w:rPr>
          <w:i/>
          <w:sz w:val="24"/>
        </w:rPr>
        <w:t>Sociedad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Anónima sobre quiebra”; ídem, Sala B, Abril 16 de 2010, “Ediciones Tenerife SA sobre quiebra”; ídem, Sala B, Abril 28 de 1999, “Jorge Ramón Ricardo contra Ingenio Río Grande SA sobre Incidente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 apelación”, etc.</w:t>
      </w:r>
    </w:p>
    <w:p w:rsidR="00792C99" w:rsidRDefault="00452634">
      <w:pPr>
        <w:spacing w:before="257" w:line="247" w:lineRule="auto"/>
        <w:ind w:left="120" w:right="101"/>
        <w:jc w:val="both"/>
        <w:rPr>
          <w:i/>
          <w:sz w:val="24"/>
        </w:rPr>
      </w:pPr>
      <w:r>
        <w:rPr>
          <w:sz w:val="24"/>
        </w:rPr>
        <w:t>Que en idéntico sentido se ha expe</w:t>
      </w:r>
      <w:r>
        <w:rPr>
          <w:sz w:val="24"/>
        </w:rPr>
        <w:t>dido la jurisprudencia, al establecer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>“Que por otro lado, la mejor manera de obtener información sobre el funcionamiento, el patrimonio y los resultados de la sociedad obedece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la tendencia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universal 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reglamentar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 contenido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 balance y demás estado</w:t>
      </w:r>
      <w:r>
        <w:rPr>
          <w:b/>
          <w:i/>
          <w:sz w:val="24"/>
        </w:rPr>
        <w:t>s contables, como lo ha hecho en los artículos 61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66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 ley 19.550, y esa tendencia encuentra su explicación en que la estructura 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 sociedad anónima contemporánea busca en la información uno de los pilares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fundamentales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su regulación, así como </w:t>
      </w:r>
      <w:r>
        <w:rPr>
          <w:b/>
          <w:i/>
          <w:sz w:val="24"/>
        </w:rPr>
        <w:t xml:space="preserve">en la comprensión cabal de la función múltiple que cumplen los estados contables” </w:t>
      </w:r>
      <w:r>
        <w:rPr>
          <w:i/>
          <w:sz w:val="24"/>
        </w:rPr>
        <w:t>(CNCom, Sala C, Febrero 28 de 1994, “Tucson SACIFIA sobre quiebra, Incidente de calificación de conducta”; ídem, Sala A, Febrero 21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1996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“Vásquez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Iglesias Hugo contra Vásq</w:t>
      </w:r>
      <w:r>
        <w:rPr>
          <w:i/>
          <w:sz w:val="24"/>
        </w:rPr>
        <w:t>uez Iglesias de Mon, Norma contra Aragón Valrea SA 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otros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sobre sumario”;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ídem, Sala W, Noviembre 1º de 2002, “Comisión Nacional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Valores contra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Zanella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Hnos.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Cía. SA”; ídem, Sala C, Mayo 20 de 2003.”Tálamo Domingo Benito contra Malvina Graciela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María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sobre medidas precautorias”; ídem, Sala A, Octubre 24 de 1995, “Comisión Nacional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Valores contra Productos Solvar SA”; ídem, Sala A, Septiembre 22 de 1995, “Astarsa SA sobre quebrantos impositivos”; Sala E, Abril 26 de 1996, “Banco Medefin SA sobre ret</w:t>
      </w:r>
      <w:r>
        <w:rPr>
          <w:i/>
          <w:sz w:val="24"/>
        </w:rPr>
        <w:t>ardo en la presentación de información contable” etc.).</w:t>
      </w:r>
    </w:p>
    <w:p w:rsidR="00792C99" w:rsidRDefault="00452634">
      <w:pPr>
        <w:spacing w:before="250" w:line="247" w:lineRule="auto"/>
        <w:ind w:left="120" w:right="101"/>
        <w:jc w:val="both"/>
        <w:rPr>
          <w:b/>
          <w:i/>
          <w:sz w:val="24"/>
        </w:rPr>
      </w:pPr>
      <w:r>
        <w:rPr>
          <w:sz w:val="24"/>
        </w:rPr>
        <w:t>Que en definitiva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“los estados contables de la sociedad sirven a los socios y accionistas para la toma de decisiones, pero también mediante su oportuna presentación ante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el Organismo de Control, de c</w:t>
      </w:r>
      <w:r>
        <w:rPr>
          <w:b/>
          <w:i/>
          <w:sz w:val="24"/>
        </w:rPr>
        <w:t>oncretar la publicidad de la información que surge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los mismos, lo cual resulta de suma utilidad para otros usuarios, como ser la administración pública, proveedores, empresarios, bancos, empleados, etc. quienes podrán 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esta manera,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conocer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situació</w:t>
      </w:r>
      <w:r>
        <w:rPr>
          <w:b/>
          <w:i/>
          <w:sz w:val="24"/>
        </w:rPr>
        <w:t>n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patrimonial,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financiera</w:t>
      </w:r>
      <w:r>
        <w:rPr>
          <w:b/>
          <w:i/>
          <w:spacing w:val="7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económica</w:t>
      </w:r>
      <w:r>
        <w:rPr>
          <w:b/>
          <w:i/>
          <w:spacing w:val="7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sociedad, sus</w:t>
      </w:r>
    </w:p>
    <w:p w:rsidR="00792C99" w:rsidRDefault="00792C99">
      <w:pPr>
        <w:spacing w:line="247" w:lineRule="auto"/>
        <w:jc w:val="both"/>
        <w:rPr>
          <w:sz w:val="24"/>
        </w:rPr>
        <w:sectPr w:rsidR="00792C99">
          <w:pgSz w:w="12240" w:h="15840"/>
          <w:pgMar w:top="440" w:right="240" w:bottom="280" w:left="1280" w:header="720" w:footer="720" w:gutter="0"/>
          <w:cols w:space="720"/>
        </w:sectPr>
      </w:pPr>
    </w:p>
    <w:p w:rsidR="00792C99" w:rsidRDefault="00452634">
      <w:pPr>
        <w:spacing w:before="70" w:line="247" w:lineRule="auto"/>
        <w:ind w:left="120"/>
        <w:rPr>
          <w:i/>
          <w:sz w:val="24"/>
        </w:rPr>
      </w:pPr>
      <w:proofErr w:type="gramStart"/>
      <w:r>
        <w:rPr>
          <w:b/>
          <w:i/>
          <w:sz w:val="24"/>
        </w:rPr>
        <w:lastRenderedPageBreak/>
        <w:t>riesgos</w:t>
      </w:r>
      <w:proofErr w:type="gramEnd"/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rentabilidad”</w:t>
      </w:r>
      <w:r>
        <w:rPr>
          <w:b/>
          <w:i/>
          <w:spacing w:val="80"/>
          <w:sz w:val="24"/>
        </w:rPr>
        <w:t xml:space="preserve"> </w:t>
      </w:r>
      <w:r>
        <w:rPr>
          <w:i/>
          <w:sz w:val="24"/>
        </w:rPr>
        <w:t>(Resolución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IGJ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610/2023,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Julio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el expediente “Construcciones Algol Sociedad Anónima”).</w:t>
      </w:r>
    </w:p>
    <w:p w:rsidR="00792C99" w:rsidRDefault="00452634">
      <w:pPr>
        <w:pStyle w:val="Textoindependiente"/>
        <w:spacing w:before="241"/>
        <w:ind w:left="120"/>
      </w:pP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medida</w:t>
      </w:r>
      <w:r>
        <w:rPr>
          <w:spacing w:val="2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dicta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atribuciones</w:t>
      </w:r>
      <w:r>
        <w:rPr>
          <w:spacing w:val="31"/>
        </w:rPr>
        <w:t xml:space="preserve"> </w:t>
      </w:r>
      <w:r>
        <w:t>conferidas</w:t>
      </w:r>
      <w:r>
        <w:rPr>
          <w:spacing w:val="2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Artículos</w:t>
      </w:r>
      <w:r>
        <w:rPr>
          <w:spacing w:val="17"/>
        </w:rPr>
        <w:t xml:space="preserve"> </w:t>
      </w:r>
      <w:r>
        <w:t>3.6.1</w:t>
      </w:r>
      <w:r>
        <w:rPr>
          <w:spacing w:val="-2"/>
        </w:rPr>
        <w:t xml:space="preserve"> </w:t>
      </w:r>
      <w:r>
        <w:rPr>
          <w:spacing w:val="-10"/>
        </w:rPr>
        <w:t>y</w:t>
      </w:r>
    </w:p>
    <w:p w:rsidR="00792C99" w:rsidRDefault="00452634">
      <w:pPr>
        <w:pStyle w:val="Textoindependiente"/>
        <w:spacing w:before="9" w:line="247" w:lineRule="auto"/>
        <w:ind w:left="120" w:right="102"/>
      </w:pPr>
      <w:r>
        <w:t>6.6.5 del</w:t>
      </w:r>
      <w:r>
        <w:rPr>
          <w:spacing w:val="15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Ley Nº 8671/76 (T.O. por</w:t>
      </w:r>
      <w:r>
        <w:rPr>
          <w:spacing w:val="18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N° 8.525/86), sus</w:t>
      </w:r>
      <w:r>
        <w:rPr>
          <w:spacing w:val="-8"/>
        </w:rPr>
        <w:t xml:space="preserve"> </w:t>
      </w:r>
      <w:r>
        <w:t>normas complementarias y modificatorias;</w:t>
      </w:r>
    </w:p>
    <w:p w:rsidR="00792C99" w:rsidRDefault="00792C99">
      <w:pPr>
        <w:pStyle w:val="Textoindependiente"/>
        <w:rPr>
          <w:sz w:val="20"/>
        </w:rPr>
      </w:pPr>
    </w:p>
    <w:p w:rsidR="00792C99" w:rsidRDefault="00792C99">
      <w:pPr>
        <w:pStyle w:val="Textoindependiente"/>
        <w:rPr>
          <w:sz w:val="20"/>
        </w:rPr>
      </w:pPr>
    </w:p>
    <w:p w:rsidR="00792C99" w:rsidRDefault="00792C99">
      <w:pPr>
        <w:pStyle w:val="Textoindependiente"/>
        <w:rPr>
          <w:sz w:val="20"/>
        </w:rPr>
      </w:pPr>
    </w:p>
    <w:p w:rsidR="00792C99" w:rsidRDefault="00792C99">
      <w:pPr>
        <w:pStyle w:val="Textoindependiente"/>
        <w:rPr>
          <w:sz w:val="20"/>
        </w:rPr>
      </w:pPr>
    </w:p>
    <w:p w:rsidR="00792C99" w:rsidRDefault="00792C99">
      <w:pPr>
        <w:pStyle w:val="Textoindependiente"/>
        <w:spacing w:before="50"/>
        <w:rPr>
          <w:sz w:val="20"/>
        </w:rPr>
      </w:pPr>
    </w:p>
    <w:p w:rsidR="00792C99" w:rsidRDefault="00792C99">
      <w:pPr>
        <w:rPr>
          <w:sz w:val="20"/>
        </w:rPr>
        <w:sectPr w:rsidR="00792C99">
          <w:pgSz w:w="12240" w:h="15840"/>
          <w:pgMar w:top="440" w:right="240" w:bottom="280" w:left="1280" w:header="720" w:footer="720" w:gutter="0"/>
          <w:cols w:space="720"/>
        </w:sectPr>
      </w:pPr>
    </w:p>
    <w:p w:rsidR="00792C99" w:rsidRDefault="00452634">
      <w:pPr>
        <w:pStyle w:val="Textoindependiente"/>
        <w:spacing w:before="92"/>
        <w:ind w:left="120"/>
      </w:pPr>
      <w:r>
        <w:lastRenderedPageBreak/>
        <w:t>Por</w:t>
      </w:r>
      <w:r>
        <w:rPr>
          <w:spacing w:val="-6"/>
        </w:rPr>
        <w:t xml:space="preserve"> </w:t>
      </w:r>
      <w:r>
        <w:rPr>
          <w:spacing w:val="-2"/>
        </w:rPr>
        <w:t>ello;</w:t>
      </w:r>
    </w:p>
    <w:p w:rsidR="00792C99" w:rsidRDefault="00452634">
      <w:pPr>
        <w:rPr>
          <w:sz w:val="24"/>
        </w:rPr>
      </w:pPr>
      <w:r>
        <w:br w:type="column"/>
      </w:r>
    </w:p>
    <w:p w:rsidR="00792C99" w:rsidRDefault="00792C99">
      <w:pPr>
        <w:pStyle w:val="Textoindependiente"/>
        <w:spacing w:before="65"/>
      </w:pPr>
    </w:p>
    <w:p w:rsidR="00792C99" w:rsidRDefault="00452634">
      <w:pPr>
        <w:spacing w:line="456" w:lineRule="auto"/>
        <w:ind w:right="1970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PROVINCIAL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JURÍDICAS DE LA PROVINCIA DE BUENOS AIRES</w:t>
      </w:r>
    </w:p>
    <w:p w:rsidR="00792C99" w:rsidRDefault="00452634">
      <w:pPr>
        <w:spacing w:before="2"/>
        <w:ind w:left="17" w:right="1970"/>
        <w:jc w:val="center"/>
        <w:rPr>
          <w:b/>
          <w:sz w:val="24"/>
        </w:rPr>
      </w:pPr>
      <w:r>
        <w:rPr>
          <w:b/>
          <w:spacing w:val="-2"/>
          <w:sz w:val="24"/>
        </w:rPr>
        <w:t>DISPONE:</w:t>
      </w:r>
    </w:p>
    <w:p w:rsidR="00792C99" w:rsidRDefault="00792C99">
      <w:pPr>
        <w:jc w:val="center"/>
        <w:rPr>
          <w:sz w:val="24"/>
        </w:rPr>
        <w:sectPr w:rsidR="00792C99">
          <w:type w:val="continuous"/>
          <w:pgSz w:w="12240" w:h="15840"/>
          <w:pgMar w:top="1540" w:right="240" w:bottom="280" w:left="1280" w:header="720" w:footer="720" w:gutter="0"/>
          <w:cols w:num="2" w:space="720" w:equalWidth="0">
            <w:col w:w="1036" w:space="929"/>
            <w:col w:w="8755"/>
          </w:cols>
        </w:sectPr>
      </w:pPr>
    </w:p>
    <w:p w:rsidR="00792C99" w:rsidRDefault="00792C99">
      <w:pPr>
        <w:pStyle w:val="Textoindependiente"/>
        <w:rPr>
          <w:b/>
        </w:rPr>
      </w:pPr>
    </w:p>
    <w:p w:rsidR="00792C99" w:rsidRDefault="00792C99">
      <w:pPr>
        <w:pStyle w:val="Textoindependiente"/>
        <w:rPr>
          <w:b/>
        </w:rPr>
      </w:pPr>
    </w:p>
    <w:p w:rsidR="00792C99" w:rsidRDefault="00792C99">
      <w:pPr>
        <w:pStyle w:val="Textoindependiente"/>
        <w:spacing w:before="95"/>
        <w:rPr>
          <w:b/>
        </w:rPr>
      </w:pPr>
    </w:p>
    <w:p w:rsidR="00792C99" w:rsidRDefault="00452634">
      <w:pPr>
        <w:spacing w:line="456" w:lineRule="auto"/>
        <w:ind w:left="120" w:right="4358"/>
        <w:rPr>
          <w:b/>
          <w:sz w:val="24"/>
        </w:rPr>
      </w:pPr>
      <w:r>
        <w:rPr>
          <w:b/>
          <w:sz w:val="24"/>
        </w:rPr>
        <w:t>TITULO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Estados contables. Normas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técnicas. Artículo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1º</w:t>
      </w:r>
      <w:proofErr w:type="gramStart"/>
      <w:r>
        <w:rPr>
          <w:b/>
          <w:sz w:val="24"/>
        </w:rPr>
        <w:t>.–</w:t>
      </w:r>
      <w:proofErr w:type="gramEnd"/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Documentación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post-</w:t>
      </w:r>
      <w:r>
        <w:rPr>
          <w:b/>
          <w:spacing w:val="-2"/>
          <w:sz w:val="24"/>
        </w:rPr>
        <w:t>asamblearia.</w:t>
      </w:r>
    </w:p>
    <w:p w:rsidR="00792C99" w:rsidRDefault="00452634">
      <w:pPr>
        <w:pStyle w:val="Textoindependiente"/>
        <w:spacing w:before="2"/>
        <w:ind w:left="120"/>
      </w:pPr>
      <w:r>
        <w:t>Las</w:t>
      </w:r>
      <w:r>
        <w:rPr>
          <w:spacing w:val="1"/>
        </w:rPr>
        <w:t xml:space="preserve"> </w:t>
      </w:r>
      <w:r>
        <w:t>sociedades por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incluidas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previsiones</w:t>
      </w:r>
      <w:r>
        <w:rPr>
          <w:spacing w:val="-1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artículo</w:t>
      </w:r>
    </w:p>
    <w:p w:rsidR="00792C99" w:rsidRDefault="00452634">
      <w:pPr>
        <w:pStyle w:val="Textoindependiente"/>
        <w:spacing w:before="9" w:line="247" w:lineRule="auto"/>
        <w:ind w:left="120" w:right="102"/>
        <w:jc w:val="both"/>
      </w:pPr>
      <w:r>
        <w:t>299 de la Ley General de Sociedades Nº 19.550, presentarán ante la</w:t>
      </w:r>
      <w:r>
        <w:rPr>
          <w:spacing w:val="-1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Provincial de Personas Jurídicas sus Estados Contables anuales o –cuando corresponda– por períodos intermedios,</w:t>
      </w:r>
      <w:r>
        <w:rPr>
          <w:spacing w:val="32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 los treinta días</w:t>
      </w:r>
      <w:r>
        <w:rPr>
          <w:spacing w:val="30"/>
        </w:rPr>
        <w:t xml:space="preserve"> </w:t>
      </w:r>
      <w:r>
        <w:t>corridos posteriores</w:t>
      </w:r>
      <w:r>
        <w:rPr>
          <w:spacing w:val="32"/>
        </w:rPr>
        <w:t xml:space="preserve"> </w:t>
      </w:r>
      <w:r>
        <w:t>a la celebración de</w:t>
      </w:r>
      <w:r>
        <w:t xml:space="preserve"> la</w:t>
      </w:r>
      <w:r>
        <w:rPr>
          <w:spacing w:val="-1"/>
        </w:rPr>
        <w:t xml:space="preserve"> </w:t>
      </w:r>
      <w:r>
        <w:t>Asamblea que los aprueba.</w:t>
      </w:r>
    </w:p>
    <w:p w:rsidR="00792C99" w:rsidRDefault="00452634">
      <w:pPr>
        <w:pStyle w:val="Textoindependiente"/>
        <w:spacing w:before="242" w:line="247" w:lineRule="auto"/>
        <w:ind w:left="120" w:right="102"/>
        <w:jc w:val="both"/>
      </w:pPr>
      <w:r>
        <w:t>El trámite se iniciará digitalmente ante esta Dirección Provincial mediante la utilización del formulario electrónico publicado a tal fin en el sitio oficial de internet del organismo (</w:t>
      </w:r>
      <w:hyperlink r:id="rId7">
        <w:r>
          <w:rPr>
            <w:u w:val="single"/>
          </w:rPr>
          <w:t>https://www.gba.gov.ar/dppj</w:t>
        </w:r>
      </w:hyperlink>
      <w:r>
        <w:t>) el que deberá ser completado por el solicitante,</w:t>
      </w:r>
      <w:r>
        <w:rPr>
          <w:spacing w:val="-2"/>
        </w:rPr>
        <w:t xml:space="preserve"> </w:t>
      </w:r>
      <w:r>
        <w:t>constituyendo domicilio especial</w:t>
      </w:r>
      <w:r>
        <w:rPr>
          <w:spacing w:val="-6"/>
        </w:rPr>
        <w:t xml:space="preserve"> </w:t>
      </w:r>
      <w:r>
        <w:t>electrónico,</w:t>
      </w:r>
      <w:r>
        <w:rPr>
          <w:spacing w:val="-7"/>
        </w:rPr>
        <w:t xml:space="preserve"> </w:t>
      </w:r>
      <w:r>
        <w:t>adjuntando las</w:t>
      </w:r>
      <w:r>
        <w:rPr>
          <w:spacing w:val="-2"/>
        </w:rPr>
        <w:t xml:space="preserve"> </w:t>
      </w:r>
      <w:r>
        <w:t>correspondientes</w:t>
      </w:r>
      <w:r>
        <w:rPr>
          <w:spacing w:val="-6"/>
        </w:rPr>
        <w:t xml:space="preserve"> </w:t>
      </w:r>
      <w:r>
        <w:t>tasas administrativas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especiales, si así lo pretende, y la documentación enunciada a continu</w:t>
      </w:r>
      <w:r>
        <w:t>ación.</w:t>
      </w:r>
    </w:p>
    <w:p w:rsidR="00792C99" w:rsidRDefault="00452634">
      <w:pPr>
        <w:pStyle w:val="Textoindependiente"/>
        <w:spacing w:before="244" w:line="247" w:lineRule="auto"/>
        <w:ind w:left="120" w:right="102"/>
        <w:jc w:val="both"/>
      </w:pPr>
      <w:r>
        <w:t>La presentación deberá ser efectuada por el representante legal de la sociedad o por el Contador/a Público/a que firma los estados contables y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indicada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continuación en los ítems a, b, c, d, 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presentada en</w:t>
      </w:r>
      <w:r>
        <w:rPr>
          <w:spacing w:val="-6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respecto de su autenticidad y fidelidad de contenido.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6"/>
      </w:pPr>
    </w:p>
    <w:p w:rsidR="00792C99" w:rsidRDefault="00452634">
      <w:pPr>
        <w:pStyle w:val="Textoindependiente"/>
        <w:ind w:left="120"/>
      </w:pPr>
      <w:r>
        <w:t>Documentación</w:t>
      </w:r>
      <w:r>
        <w:rPr>
          <w:spacing w:val="-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adjuntar</w:t>
      </w:r>
      <w:r>
        <w:rPr>
          <w:spacing w:val="-1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formulario</w:t>
      </w:r>
      <w:r>
        <w:rPr>
          <w:spacing w:val="-8"/>
        </w:rPr>
        <w:t xml:space="preserve"> </w:t>
      </w:r>
      <w:r>
        <w:rPr>
          <w:spacing w:val="-2"/>
        </w:rPr>
        <w:t>digital:</w:t>
      </w:r>
    </w:p>
    <w:p w:rsidR="00792C99" w:rsidRDefault="00452634">
      <w:pPr>
        <w:pStyle w:val="Prrafodelista"/>
        <w:numPr>
          <w:ilvl w:val="0"/>
          <w:numId w:val="3"/>
        </w:numPr>
        <w:tabs>
          <w:tab w:val="left" w:pos="449"/>
        </w:tabs>
        <w:spacing w:before="249" w:line="247" w:lineRule="auto"/>
        <w:ind w:right="109" w:firstLine="0"/>
        <w:jc w:val="both"/>
        <w:rPr>
          <w:sz w:val="24"/>
        </w:rPr>
      </w:pPr>
      <w:r>
        <w:rPr>
          <w:sz w:val="24"/>
        </w:rPr>
        <w:t>Copia digital de la rúbrica del libro y del acta de reunión de Directorio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aprueba</w:t>
      </w:r>
      <w:r>
        <w:rPr>
          <w:spacing w:val="-5"/>
          <w:sz w:val="24"/>
        </w:rPr>
        <w:t xml:space="preserve"> </w:t>
      </w:r>
      <w:r>
        <w:rPr>
          <w:sz w:val="24"/>
        </w:rPr>
        <w:t>la memoria y se convoca a Asam</w:t>
      </w:r>
      <w:r>
        <w:rPr>
          <w:sz w:val="24"/>
        </w:rPr>
        <w:t>blea.</w:t>
      </w:r>
    </w:p>
    <w:p w:rsidR="00792C99" w:rsidRDefault="00452634">
      <w:pPr>
        <w:pStyle w:val="Prrafodelista"/>
        <w:numPr>
          <w:ilvl w:val="0"/>
          <w:numId w:val="3"/>
        </w:numPr>
        <w:tabs>
          <w:tab w:val="left" w:pos="419"/>
        </w:tabs>
        <w:spacing w:line="247" w:lineRule="auto"/>
        <w:ind w:right="105" w:firstLine="0"/>
        <w:jc w:val="both"/>
        <w:rPr>
          <w:sz w:val="24"/>
        </w:rPr>
      </w:pPr>
      <w:r>
        <w:rPr>
          <w:sz w:val="24"/>
        </w:rPr>
        <w:t>Copias digitales de publicación en el Boletín Oficial y del diario de mayor circulación en el</w:t>
      </w:r>
      <w:r>
        <w:rPr>
          <w:spacing w:val="-1"/>
          <w:sz w:val="24"/>
        </w:rPr>
        <w:t xml:space="preserve"> </w:t>
      </w:r>
      <w:r>
        <w:rPr>
          <w:sz w:val="24"/>
        </w:rPr>
        <w:t>que se publicó la convocatoria, salvo que sea una asamblea unánime.</w:t>
      </w:r>
    </w:p>
    <w:p w:rsidR="00792C99" w:rsidRDefault="00452634">
      <w:pPr>
        <w:pStyle w:val="Prrafodelista"/>
        <w:numPr>
          <w:ilvl w:val="0"/>
          <w:numId w:val="3"/>
        </w:numPr>
        <w:tabs>
          <w:tab w:val="left" w:pos="449"/>
        </w:tabs>
        <w:spacing w:before="241"/>
        <w:ind w:left="449" w:hanging="329"/>
        <w:jc w:val="both"/>
        <w:rPr>
          <w:sz w:val="24"/>
        </w:rPr>
      </w:pPr>
      <w:r>
        <w:rPr>
          <w:sz w:val="24"/>
        </w:rPr>
        <w:t>Copia</w:t>
      </w:r>
      <w:r>
        <w:rPr>
          <w:spacing w:val="46"/>
          <w:sz w:val="24"/>
        </w:rPr>
        <w:t xml:space="preserve"> </w:t>
      </w:r>
      <w:r>
        <w:rPr>
          <w:sz w:val="24"/>
        </w:rPr>
        <w:t>digital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rúbrica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libro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53"/>
          <w:sz w:val="24"/>
        </w:rPr>
        <w:t xml:space="preserve"> </w:t>
      </w:r>
      <w:r>
        <w:rPr>
          <w:sz w:val="24"/>
        </w:rPr>
        <w:t>acta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asamblea</w:t>
      </w:r>
      <w:r>
        <w:rPr>
          <w:spacing w:val="53"/>
          <w:sz w:val="24"/>
        </w:rPr>
        <w:t xml:space="preserve"> </w:t>
      </w:r>
      <w:r>
        <w:rPr>
          <w:sz w:val="24"/>
        </w:rPr>
        <w:t>aprobatoria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estados</w:t>
      </w:r>
    </w:p>
    <w:p w:rsidR="00792C99" w:rsidRDefault="00792C99">
      <w:pPr>
        <w:jc w:val="both"/>
        <w:rPr>
          <w:sz w:val="24"/>
        </w:rPr>
        <w:sectPr w:rsidR="00792C99">
          <w:type w:val="continuous"/>
          <w:pgSz w:w="12240" w:h="15840"/>
          <w:pgMar w:top="1540" w:right="240" w:bottom="280" w:left="1280" w:header="720" w:footer="720" w:gutter="0"/>
          <w:cols w:space="720"/>
        </w:sectPr>
      </w:pPr>
    </w:p>
    <w:p w:rsidR="00792C99" w:rsidRDefault="00452634">
      <w:pPr>
        <w:pStyle w:val="Textoindependiente"/>
        <w:spacing w:before="70"/>
        <w:ind w:left="120"/>
      </w:pPr>
      <w:proofErr w:type="gramStart"/>
      <w:r>
        <w:rPr>
          <w:spacing w:val="-2"/>
        </w:rPr>
        <w:lastRenderedPageBreak/>
        <w:t>contables</w:t>
      </w:r>
      <w:proofErr w:type="gramEnd"/>
      <w:r>
        <w:rPr>
          <w:spacing w:val="-2"/>
        </w:rPr>
        <w:t>.</w:t>
      </w:r>
    </w:p>
    <w:p w:rsidR="00792C99" w:rsidRDefault="00452634">
      <w:pPr>
        <w:pStyle w:val="Prrafodelista"/>
        <w:numPr>
          <w:ilvl w:val="0"/>
          <w:numId w:val="3"/>
        </w:numPr>
        <w:tabs>
          <w:tab w:val="left" w:pos="464"/>
        </w:tabs>
        <w:spacing w:before="249" w:line="247" w:lineRule="auto"/>
        <w:ind w:right="103" w:firstLine="0"/>
        <w:jc w:val="both"/>
        <w:rPr>
          <w:sz w:val="24"/>
        </w:rPr>
      </w:pPr>
      <w:r>
        <w:rPr>
          <w:sz w:val="24"/>
        </w:rPr>
        <w:t>Un ejemplar del Balance General, Estado de Resultados, Cuadros y Anexos, y todo otro instrumento previsto en los artículos 61 a 66 de 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19.550. Debiendo</w:t>
      </w:r>
      <w:r>
        <w:rPr>
          <w:spacing w:val="-2"/>
          <w:sz w:val="24"/>
        </w:rPr>
        <w:t xml:space="preserve"> </w:t>
      </w:r>
      <w:r>
        <w:rPr>
          <w:sz w:val="24"/>
        </w:rPr>
        <w:t>contener la</w:t>
      </w:r>
      <w:r>
        <w:rPr>
          <w:spacing w:val="-1"/>
          <w:sz w:val="24"/>
        </w:rPr>
        <w:t xml:space="preserve"> </w:t>
      </w:r>
      <w:r>
        <w:rPr>
          <w:sz w:val="24"/>
        </w:rPr>
        <w:t>memoria,</w:t>
      </w:r>
      <w:r>
        <w:rPr>
          <w:spacing w:val="-4"/>
          <w:sz w:val="24"/>
        </w:rPr>
        <w:t xml:space="preserve"> </w:t>
      </w:r>
      <w:r>
        <w:rPr>
          <w:sz w:val="24"/>
        </w:rPr>
        <w:t>en su caso el informe del órgano de fiscalización.</w:t>
      </w:r>
    </w:p>
    <w:p w:rsidR="00792C99" w:rsidRDefault="00452634">
      <w:pPr>
        <w:pStyle w:val="Prrafodelista"/>
        <w:numPr>
          <w:ilvl w:val="0"/>
          <w:numId w:val="3"/>
        </w:numPr>
        <w:tabs>
          <w:tab w:val="left" w:pos="464"/>
        </w:tabs>
        <w:spacing w:line="247" w:lineRule="auto"/>
        <w:ind w:right="99" w:firstLine="0"/>
        <w:jc w:val="both"/>
        <w:rPr>
          <w:sz w:val="24"/>
        </w:rPr>
      </w:pPr>
      <w:r>
        <w:rPr>
          <w:sz w:val="24"/>
        </w:rPr>
        <w:t>Copia digital de la rúbrica del libro</w:t>
      </w:r>
      <w:r>
        <w:rPr>
          <w:spacing w:val="40"/>
          <w:sz w:val="24"/>
        </w:rPr>
        <w:t xml:space="preserve"> </w:t>
      </w:r>
      <w:r>
        <w:rPr>
          <w:sz w:val="24"/>
        </w:rPr>
        <w:t>y del o los folios del Libro de Depósito de</w:t>
      </w:r>
      <w:r>
        <w:rPr>
          <w:spacing w:val="-5"/>
          <w:sz w:val="24"/>
        </w:rPr>
        <w:t xml:space="preserve"> </w:t>
      </w:r>
      <w:r>
        <w:rPr>
          <w:sz w:val="24"/>
        </w:rPr>
        <w:t>Acciones</w:t>
      </w:r>
      <w:r>
        <w:rPr>
          <w:spacing w:val="-7"/>
          <w:sz w:val="24"/>
        </w:rPr>
        <w:t xml:space="preserve"> </w:t>
      </w:r>
      <w:r>
        <w:rPr>
          <w:sz w:val="24"/>
        </w:rPr>
        <w:t>y Registro de Asistencia a Asamblea en el 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registró la</w:t>
      </w:r>
      <w:r>
        <w:rPr>
          <w:spacing w:val="-1"/>
          <w:sz w:val="24"/>
        </w:rPr>
        <w:t xml:space="preserve"> </w:t>
      </w:r>
      <w:r>
        <w:rPr>
          <w:sz w:val="24"/>
        </w:rPr>
        <w:t>asistencia 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socios,</w:t>
      </w:r>
      <w:r>
        <w:rPr>
          <w:spacing w:val="-6"/>
          <w:sz w:val="24"/>
        </w:rPr>
        <w:t xml:space="preserve"> </w:t>
      </w:r>
      <w:r>
        <w:rPr>
          <w:sz w:val="24"/>
        </w:rPr>
        <w:t>incluyendo</w:t>
      </w:r>
      <w:r>
        <w:rPr>
          <w:spacing w:val="-2"/>
          <w:sz w:val="24"/>
        </w:rPr>
        <w:t xml:space="preserve"> </w:t>
      </w:r>
      <w:r>
        <w:rPr>
          <w:sz w:val="24"/>
        </w:rPr>
        <w:t>su debido cierre</w:t>
      </w:r>
      <w:r>
        <w:rPr>
          <w:sz w:val="24"/>
        </w:rPr>
        <w:t xml:space="preserve"> que contendrá detalle 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cantidad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accionistas presentes,</w:t>
      </w:r>
      <w:r>
        <w:rPr>
          <w:spacing w:val="-5"/>
          <w:sz w:val="24"/>
        </w:rPr>
        <w:t xml:space="preserve"> </w:t>
      </w:r>
      <w:r>
        <w:rPr>
          <w:sz w:val="24"/>
        </w:rPr>
        <w:t>votos y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capital que representan. Deberá estar firmado por representante legal.</w:t>
      </w:r>
    </w:p>
    <w:p w:rsidR="00792C99" w:rsidRDefault="00452634">
      <w:pPr>
        <w:pStyle w:val="Prrafodelista"/>
        <w:numPr>
          <w:ilvl w:val="0"/>
          <w:numId w:val="3"/>
        </w:numPr>
        <w:tabs>
          <w:tab w:val="left" w:pos="344"/>
        </w:tabs>
        <w:spacing w:line="247" w:lineRule="auto"/>
        <w:ind w:right="99" w:firstLine="0"/>
        <w:jc w:val="both"/>
        <w:rPr>
          <w:sz w:val="24"/>
        </w:rPr>
      </w:pPr>
      <w:r>
        <w:rPr>
          <w:sz w:val="24"/>
        </w:rPr>
        <w:t>Anexo 27,</w:t>
      </w:r>
      <w:r>
        <w:rPr>
          <w:spacing w:val="40"/>
          <w:sz w:val="24"/>
        </w:rPr>
        <w:t xml:space="preserve"> </w:t>
      </w:r>
      <w:r>
        <w:rPr>
          <w:sz w:val="24"/>
        </w:rPr>
        <w:t>en el que se deberá consignar datos de la asamblea, del balance, la nómina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 integrantes del</w:t>
      </w:r>
      <w:r>
        <w:rPr>
          <w:sz w:val="24"/>
        </w:rPr>
        <w:t xml:space="preserve"> Directorio, y del Consejo de Vigilancia y Sindicatura si los hubiere, electos o renovados, precisando: cargo, nombre y apellido, tipo y número de documento, fecha de nacimiento, domicilio particular de cada uno.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189"/>
      </w:pPr>
    </w:p>
    <w:p w:rsidR="00792C99" w:rsidRDefault="00452634">
      <w:pPr>
        <w:pStyle w:val="Textoindependiente"/>
        <w:spacing w:before="1" w:line="247" w:lineRule="auto"/>
        <w:ind w:left="120" w:right="103"/>
        <w:jc w:val="both"/>
      </w:pPr>
      <w:r>
        <w:rPr>
          <w:b/>
        </w:rPr>
        <w:t xml:space="preserve">Artículo 2º.– </w:t>
      </w:r>
      <w:r>
        <w:t>La elaboración tanto de l</w:t>
      </w:r>
      <w:r>
        <w:t>os Estados Contables que se presenten como documentación post-asamblearia como los que por la normativa vigente en esta Dirección</w:t>
      </w:r>
      <w:r>
        <w:rPr>
          <w:spacing w:val="-3"/>
        </w:rPr>
        <w:t xml:space="preserve"> </w:t>
      </w:r>
      <w:r>
        <w:t xml:space="preserve">sean requeridos en trámites de inscripción, deben ajustarse a las Normas técnicas profesionales vigentes y sus modificaciones </w:t>
      </w:r>
      <w:r>
        <w:t>(Resoluciones Técnicas de la Federación Argentina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Consejos Profesionales de Ciencias Económicas), en las condiciones de su adopción por el Consejo Profesional</w:t>
      </w:r>
      <w:r>
        <w:rPr>
          <w:spacing w:val="40"/>
        </w:rPr>
        <w:t xml:space="preserve"> </w:t>
      </w:r>
      <w:r>
        <w:t>de Ciencias</w:t>
      </w:r>
      <w:r>
        <w:rPr>
          <w:spacing w:val="40"/>
        </w:rPr>
        <w:t xml:space="preserve"> </w:t>
      </w:r>
      <w:r>
        <w:t>Económicas</w:t>
      </w:r>
      <w:r>
        <w:rPr>
          <w:spacing w:val="40"/>
        </w:rPr>
        <w:t xml:space="preserve"> </w:t>
      </w:r>
      <w:r>
        <w:t>de la</w:t>
      </w:r>
      <w:r>
        <w:rPr>
          <w:spacing w:val="40"/>
        </w:rPr>
        <w:t xml:space="preserve"> </w:t>
      </w:r>
      <w:r>
        <w:t>Provincia de Buenos</w:t>
      </w:r>
      <w:r>
        <w:rPr>
          <w:spacing w:val="40"/>
        </w:rPr>
        <w:t xml:space="preserve"> </w:t>
      </w:r>
      <w:r>
        <w:t>Aires, y en cuanto no</w:t>
      </w:r>
      <w:r>
        <w:rPr>
          <w:spacing w:val="-5"/>
        </w:rPr>
        <w:t xml:space="preserve"> </w:t>
      </w:r>
      <w:r>
        <w:t>esté previsto de difere</w:t>
      </w:r>
      <w:r>
        <w:t>nte forma en la ley, en disposiciones reglamentarias o en las presentes Normas.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7"/>
      </w:pPr>
    </w:p>
    <w:p w:rsidR="00792C99" w:rsidRDefault="00452634">
      <w:pPr>
        <w:pStyle w:val="Textoindependiente"/>
        <w:spacing w:line="247" w:lineRule="auto"/>
        <w:ind w:left="120" w:right="109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3º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r>
        <w:t>Los Estados Contables del artículo anterior deberán</w:t>
      </w:r>
      <w:r>
        <w:rPr>
          <w:spacing w:val="-6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Informe de</w:t>
      </w:r>
      <w:r>
        <w:rPr>
          <w:spacing w:val="-7"/>
        </w:rPr>
        <w:t xml:space="preserve"> </w:t>
      </w:r>
      <w:r>
        <w:t>auditoria de Contador Público y contener opinión fundada sobre los mismos.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extoindependiente"/>
        <w:spacing w:line="247" w:lineRule="auto"/>
        <w:ind w:left="120" w:right="225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4º.– </w:t>
      </w:r>
      <w:r>
        <w:t>Tanto los</w:t>
      </w:r>
      <w:r>
        <w:rPr>
          <w:spacing w:val="-1"/>
        </w:rPr>
        <w:t xml:space="preserve"> </w:t>
      </w:r>
      <w:r>
        <w:t>Estados</w:t>
      </w:r>
      <w:r>
        <w:rPr>
          <w:spacing w:val="-6"/>
        </w:rPr>
        <w:t xml:space="preserve"> </w:t>
      </w:r>
      <w:r>
        <w:t>Contables que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presenten ante esta Dirección</w:t>
      </w:r>
      <w:r>
        <w:rPr>
          <w:spacing w:val="-4"/>
        </w:rPr>
        <w:t xml:space="preserve"> </w:t>
      </w:r>
      <w:r>
        <w:t>Provincial como los Informes contables y toda otra documentación contable requerida por esta Dirección Provincial deberán presentarse digitalmente certificados por el Consejo</w:t>
      </w:r>
      <w:r>
        <w:rPr>
          <w:spacing w:val="-6"/>
        </w:rPr>
        <w:t xml:space="preserve"> </w:t>
      </w:r>
      <w:r>
        <w:t>Profesional</w:t>
      </w:r>
      <w:r>
        <w:t xml:space="preserve"> de</w:t>
      </w:r>
      <w:r>
        <w:rPr>
          <w:spacing w:val="-7"/>
        </w:rPr>
        <w:t xml:space="preserve"> </w:t>
      </w:r>
      <w:r>
        <w:t>Ciencias Económicas de la Provincia de Buenos Aires.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6"/>
      </w:pPr>
    </w:p>
    <w:p w:rsidR="00792C99" w:rsidRDefault="00452634">
      <w:pPr>
        <w:pStyle w:val="Textoindependiente"/>
        <w:spacing w:line="247" w:lineRule="auto"/>
        <w:ind w:left="120" w:right="228"/>
        <w:jc w:val="both"/>
      </w:pPr>
      <w:r>
        <w:rPr>
          <w:b/>
        </w:rPr>
        <w:t xml:space="preserve">Artículo 5º.– </w:t>
      </w:r>
      <w:r>
        <w:t>No se admitirán certificaciones literales de Contador Público</w:t>
      </w:r>
      <w:r>
        <w:rPr>
          <w:spacing w:val="-1"/>
        </w:rPr>
        <w:t xml:space="preserve"> </w:t>
      </w:r>
      <w:r>
        <w:t>independiente</w:t>
      </w:r>
      <w:r>
        <w:rPr>
          <w:spacing w:val="-2"/>
        </w:rPr>
        <w:t xml:space="preserve"> </w:t>
      </w:r>
      <w:r>
        <w:t>sobre Estados Contables que se presenten a este Organismo, salvo que se acrediten circunstancias excepciona</w:t>
      </w:r>
      <w:r>
        <w:t>les, en cuyo caso su admisión quedará sujeta al exclusivo criterio del Organismo.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extoindependiente"/>
        <w:spacing w:line="247" w:lineRule="auto"/>
        <w:ind w:left="120" w:right="204"/>
        <w:jc w:val="both"/>
      </w:pPr>
      <w:r>
        <w:rPr>
          <w:b/>
        </w:rPr>
        <w:t xml:space="preserve">Artículo 6º.– </w:t>
      </w:r>
      <w:r>
        <w:t>Las sociedades podrán presentar, ante esta Dirección Provincial de Personas Jurídicas de la Provincia de Buenos Aires, conforme las Normas Técnicas en vigenci</w:t>
      </w:r>
      <w:r>
        <w:t>a, sus Estados Contables individuales de acuerdo a las Normas Internacionales de Información Financiera (NIIF).</w:t>
      </w:r>
    </w:p>
    <w:p w:rsidR="00792C99" w:rsidRDefault="00792C99">
      <w:pPr>
        <w:spacing w:line="247" w:lineRule="auto"/>
        <w:jc w:val="both"/>
        <w:sectPr w:rsidR="00792C99">
          <w:pgSz w:w="12240" w:h="15840"/>
          <w:pgMar w:top="440" w:right="240" w:bottom="280" w:left="1280" w:header="720" w:footer="720" w:gutter="0"/>
          <w:cols w:space="720"/>
        </w:sectPr>
      </w:pPr>
    </w:p>
    <w:p w:rsidR="00792C99" w:rsidRDefault="00452634">
      <w:pPr>
        <w:pStyle w:val="Ttulo1"/>
        <w:spacing w:before="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Artículo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7º</w:t>
      </w:r>
      <w:proofErr w:type="gramStart"/>
      <w:r>
        <w:rPr>
          <w:rFonts w:ascii="Times New Roman" w:hAnsi="Times New Roman"/>
        </w:rPr>
        <w:t>.–</w:t>
      </w:r>
      <w:proofErr w:type="gram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Memoria.</w:t>
      </w:r>
    </w:p>
    <w:p w:rsidR="00792C99" w:rsidRDefault="00452634">
      <w:pPr>
        <w:pStyle w:val="Textoindependiente"/>
        <w:spacing w:before="248" w:line="247" w:lineRule="auto"/>
        <w:ind w:left="120" w:right="101"/>
        <w:jc w:val="both"/>
      </w:pPr>
      <w:r>
        <w:t>Los Administradores de sociedades por acciones deberán confeccionar la Memoria anual conforme lo</w:t>
      </w:r>
      <w:r>
        <w:rPr>
          <w:spacing w:val="29"/>
        </w:rPr>
        <w:t xml:space="preserve"> </w:t>
      </w:r>
      <w:r>
        <w:t>requerido por</w:t>
      </w:r>
      <w:r>
        <w:rPr>
          <w:spacing w:val="33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t>66 de la</w:t>
      </w:r>
      <w:r>
        <w:rPr>
          <w:spacing w:val="29"/>
        </w:rPr>
        <w:t xml:space="preserve"> </w:t>
      </w:r>
      <w:r>
        <w:t>Ley N° 19.550. Dicha</w:t>
      </w:r>
      <w:r>
        <w:rPr>
          <w:spacing w:val="-7"/>
        </w:rPr>
        <w:t xml:space="preserve"> </w:t>
      </w:r>
      <w:r>
        <w:t>Memoria deberá</w:t>
      </w:r>
      <w:r>
        <w:rPr>
          <w:spacing w:val="-5"/>
        </w:rPr>
        <w:t xml:space="preserve"> </w:t>
      </w:r>
      <w:r>
        <w:t>contemplar los</w:t>
      </w:r>
      <w:r>
        <w:rPr>
          <w:spacing w:val="-1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operaciones ocurridos</w:t>
      </w:r>
      <w:r>
        <w:rPr>
          <w:spacing w:val="-6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-6"/>
        </w:rPr>
        <w:t xml:space="preserve"> </w:t>
      </w:r>
      <w:r>
        <w:t>cierre de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6"/>
        </w:rPr>
        <w:t xml:space="preserve"> </w:t>
      </w:r>
      <w:r>
        <w:t>Contables y</w:t>
      </w:r>
      <w:r>
        <w:rPr>
          <w:spacing w:val="-9"/>
        </w:rPr>
        <w:t xml:space="preserve"> </w:t>
      </w:r>
      <w:r>
        <w:t>la de la Memoria, que pudieran modificar significativamente</w:t>
      </w:r>
      <w:r>
        <w:rPr>
          <w:spacing w:val="32"/>
        </w:rPr>
        <w:t xml:space="preserve"> </w:t>
      </w:r>
      <w:r>
        <w:t>la situación</w:t>
      </w:r>
      <w:r>
        <w:rPr>
          <w:spacing w:val="32"/>
        </w:rPr>
        <w:t xml:space="preserve"> </w:t>
      </w:r>
      <w:r>
        <w:t>financiera y los</w:t>
      </w:r>
      <w:r>
        <w:rPr>
          <w:spacing w:val="-1"/>
        </w:rPr>
        <w:t xml:space="preserve"> </w:t>
      </w:r>
      <w:r>
        <w:t>re</w:t>
      </w:r>
      <w:r>
        <w:t>sultados de la sociedad a la fecha de dichos Estados Contables.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02"/>
      </w:pPr>
    </w:p>
    <w:p w:rsidR="00792C99" w:rsidRDefault="00452634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Artículo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8º</w:t>
      </w:r>
      <w:proofErr w:type="gramStart"/>
      <w:r>
        <w:rPr>
          <w:rFonts w:ascii="Times New Roman" w:hAnsi="Times New Roman"/>
        </w:rPr>
        <w:t>.–</w:t>
      </w:r>
      <w:proofErr w:type="gram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Requisitos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 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Memoria.</w:t>
      </w:r>
    </w:p>
    <w:p w:rsidR="00792C99" w:rsidRDefault="00452634">
      <w:pPr>
        <w:pStyle w:val="Textoindependiente"/>
        <w:spacing w:before="248" w:line="247" w:lineRule="auto"/>
        <w:ind w:left="120" w:right="102"/>
        <w:jc w:val="both"/>
      </w:pPr>
      <w:r>
        <w:t>La Memoria deberá contener la información prevista en el art. 66º de la Ley 19.550 y</w:t>
      </w:r>
      <w:r>
        <w:rPr>
          <w:spacing w:val="-8"/>
        </w:rPr>
        <w:t xml:space="preserve"> </w:t>
      </w:r>
      <w:r>
        <w:t xml:space="preserve">sus </w:t>
      </w:r>
      <w:r>
        <w:rPr>
          <w:spacing w:val="-2"/>
        </w:rPr>
        <w:t>modificatorias.</w:t>
      </w:r>
    </w:p>
    <w:p w:rsidR="00792C99" w:rsidRDefault="00452634">
      <w:pPr>
        <w:pStyle w:val="Textoindependiente"/>
        <w:spacing w:before="242" w:line="247" w:lineRule="auto"/>
        <w:ind w:left="120" w:right="101"/>
        <w:jc w:val="both"/>
      </w:pPr>
      <w:r>
        <w:t>En caso que este Organismo lo considere necesario,</w:t>
      </w:r>
      <w:r>
        <w:rPr>
          <w:spacing w:val="-7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requerir un</w:t>
      </w:r>
      <w:r>
        <w:rPr>
          <w:spacing w:val="-7"/>
        </w:rPr>
        <w:t xml:space="preserve"> </w:t>
      </w:r>
      <w:r>
        <w:t>Informe complementario</w:t>
      </w:r>
      <w:r>
        <w:rPr>
          <w:spacing w:val="-7"/>
        </w:rPr>
        <w:t xml:space="preserve"> </w:t>
      </w:r>
      <w:r>
        <w:t>a la memoria presentada que formará parte de los Estados Contables y</w:t>
      </w:r>
      <w:r>
        <w:rPr>
          <w:spacing w:val="-9"/>
        </w:rPr>
        <w:t xml:space="preserve"> </w:t>
      </w:r>
      <w:r>
        <w:t>será trascripto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Libro Inventario y Balances junto con la restante documentación.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tulo1"/>
        <w:rPr>
          <w:b w:val="0"/>
        </w:rPr>
      </w:pPr>
      <w:r>
        <w:t>Artícu</w:t>
      </w:r>
      <w:r>
        <w:t>lo</w:t>
      </w:r>
      <w:r>
        <w:rPr>
          <w:spacing w:val="-5"/>
        </w:rPr>
        <w:t xml:space="preserve"> </w:t>
      </w:r>
      <w:r>
        <w:t>9º</w:t>
      </w:r>
      <w:proofErr w:type="gramStart"/>
      <w:r>
        <w:t>.–</w:t>
      </w:r>
      <w:proofErr w:type="gramEnd"/>
      <w:r>
        <w:rPr>
          <w:spacing w:val="2"/>
        </w:rPr>
        <w:t xml:space="preserve"> </w:t>
      </w:r>
      <w:r>
        <w:t>Sociedades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fiscalización</w:t>
      </w:r>
      <w:r>
        <w:rPr>
          <w:spacing w:val="2"/>
        </w:rPr>
        <w:t xml:space="preserve"> </w:t>
      </w:r>
      <w:r>
        <w:rPr>
          <w:spacing w:val="-2"/>
        </w:rPr>
        <w:t>especial</w:t>
      </w:r>
      <w:r>
        <w:rPr>
          <w:b w:val="0"/>
          <w:spacing w:val="-2"/>
        </w:rPr>
        <w:t>.</w:t>
      </w:r>
    </w:p>
    <w:p w:rsidR="00792C99" w:rsidRDefault="00452634">
      <w:pPr>
        <w:pStyle w:val="Textoindependiente"/>
        <w:spacing w:before="249" w:line="247" w:lineRule="auto"/>
        <w:ind w:left="120" w:right="100"/>
        <w:jc w:val="both"/>
      </w:pPr>
      <w:r>
        <w:t>Las sociedades sometidas al control concurrente de otros organismos (Banco Central de</w:t>
      </w:r>
      <w:r>
        <w:rPr>
          <w:spacing w:val="-6"/>
        </w:rPr>
        <w:t xml:space="preserve"> </w:t>
      </w:r>
      <w:r>
        <w:t>la República Argentina, Superintendencia de Seguros de la Nación y otros), podrán</w:t>
      </w:r>
      <w:r>
        <w:rPr>
          <w:spacing w:val="-6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sus Estados Contables de ejerc</w:t>
      </w:r>
      <w:r>
        <w:t>icio conforme las normas establecidas por dichos Organismos.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spacing w:line="247" w:lineRule="auto"/>
        <w:ind w:left="120" w:right="99"/>
        <w:jc w:val="both"/>
        <w:rPr>
          <w:sz w:val="24"/>
        </w:rPr>
      </w:pPr>
      <w:r>
        <w:rPr>
          <w:b/>
          <w:sz w:val="24"/>
        </w:rPr>
        <w:t>Artículo 10º</w:t>
      </w:r>
      <w:proofErr w:type="gramStart"/>
      <w:r>
        <w:rPr>
          <w:b/>
          <w:sz w:val="24"/>
        </w:rPr>
        <w:t>.–</w:t>
      </w:r>
      <w:proofErr w:type="gramEnd"/>
      <w:r>
        <w:rPr>
          <w:b/>
          <w:sz w:val="24"/>
        </w:rPr>
        <w:t xml:space="preserve"> Comisión Nacional de Valores. Presentación de Estados Contables bajo Normas Internacionales de Información Financiera (NIIF). </w:t>
      </w:r>
      <w:r>
        <w:rPr>
          <w:sz w:val="24"/>
        </w:rPr>
        <w:t>Las sociedades controladas, controlantes, subsidiari</w:t>
      </w:r>
      <w:r>
        <w:rPr>
          <w:sz w:val="24"/>
        </w:rPr>
        <w:t>as o vinculadas a las que hacen oferta pública de sus acciones o debentures, podrán presentar ante esta Dirección Provincial de Personas</w:t>
      </w:r>
      <w:r>
        <w:rPr>
          <w:spacing w:val="-4"/>
          <w:sz w:val="24"/>
        </w:rPr>
        <w:t xml:space="preserve"> </w:t>
      </w:r>
      <w:r>
        <w:rPr>
          <w:sz w:val="24"/>
        </w:rPr>
        <w:t>Jurídicas,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8"/>
          <w:sz w:val="24"/>
        </w:rPr>
        <w:t xml:space="preserve"> </w:t>
      </w:r>
      <w:r>
        <w:rPr>
          <w:sz w:val="24"/>
        </w:rPr>
        <w:t>Estados Contables individuales conforme las Normas Internacionales de Información Financiera (NIIF) prev</w:t>
      </w:r>
      <w:r>
        <w:rPr>
          <w:sz w:val="24"/>
        </w:rPr>
        <w:t>istas en las Resoluciones Técnicas 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Federación Argentina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Consejos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8"/>
          <w:sz w:val="24"/>
        </w:rPr>
        <w:t xml:space="preserve"> </w:t>
      </w:r>
      <w:r>
        <w:rPr>
          <w:sz w:val="24"/>
        </w:rPr>
        <w:t>de Ciencias Económicas (FACPCE)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adoptadas</w:t>
      </w:r>
      <w:r>
        <w:rPr>
          <w:spacing w:val="-5"/>
          <w:sz w:val="24"/>
        </w:rPr>
        <w:t xml:space="preserve"> </w:t>
      </w:r>
      <w:r>
        <w:rPr>
          <w:sz w:val="24"/>
        </w:rPr>
        <w:t>por 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5"/>
          <w:sz w:val="24"/>
        </w:rPr>
        <w:t xml:space="preserve"> </w:t>
      </w:r>
      <w:r>
        <w:rPr>
          <w:sz w:val="24"/>
        </w:rPr>
        <w:t>Profesional de</w:t>
      </w:r>
      <w:r>
        <w:rPr>
          <w:spacing w:val="-6"/>
          <w:sz w:val="24"/>
        </w:rPr>
        <w:t xml:space="preserve"> </w:t>
      </w:r>
      <w:r>
        <w:rPr>
          <w:sz w:val="24"/>
        </w:rPr>
        <w:t>Ciencias Económicas de la Provincia de Buenos Aires.</w:t>
      </w:r>
    </w:p>
    <w:p w:rsidR="00792C99" w:rsidRDefault="00452634">
      <w:pPr>
        <w:pStyle w:val="Textoindependiente"/>
        <w:spacing w:before="246" w:line="247" w:lineRule="auto"/>
        <w:ind w:left="120" w:right="108"/>
        <w:jc w:val="both"/>
      </w:pPr>
      <w:r>
        <w:t>A tal fin, conjuntamente a la presentación de los Estados</w:t>
      </w:r>
      <w:r>
        <w:rPr>
          <w:spacing w:val="-6"/>
        </w:rPr>
        <w:t xml:space="preserve"> </w:t>
      </w:r>
      <w:r>
        <w:t>Contables correspondientes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primer ejercicio en el que se ha de aplicar las</w:t>
      </w:r>
      <w:r>
        <w:rPr>
          <w:spacing w:val="-1"/>
        </w:rPr>
        <w:t xml:space="preserve"> </w:t>
      </w:r>
      <w:r>
        <w:t>Normas Internacionales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Financiera</w:t>
      </w:r>
      <w:r>
        <w:rPr>
          <w:spacing w:val="-5"/>
        </w:rPr>
        <w:t xml:space="preserve"> </w:t>
      </w:r>
      <w:r>
        <w:t>(NIIF), deberán acreditar ante este Organismo: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84"/>
        </w:tabs>
        <w:spacing w:line="247" w:lineRule="auto"/>
        <w:ind w:right="101" w:firstLine="0"/>
        <w:rPr>
          <w:sz w:val="24"/>
        </w:rPr>
      </w:pPr>
      <w:r>
        <w:rPr>
          <w:sz w:val="24"/>
        </w:rPr>
        <w:t>Que la sociedad sujeta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fiscalización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6"/>
          <w:sz w:val="24"/>
        </w:rPr>
        <w:t xml:space="preserve"> </w:t>
      </w:r>
      <w:r>
        <w:rPr>
          <w:sz w:val="24"/>
        </w:rPr>
        <w:t>Valores,</w:t>
      </w:r>
      <w:r>
        <w:rPr>
          <w:spacing w:val="-5"/>
          <w:sz w:val="24"/>
        </w:rPr>
        <w:t xml:space="preserve"> </w:t>
      </w:r>
      <w:r>
        <w:rPr>
          <w:sz w:val="24"/>
        </w:rPr>
        <w:t>respecto 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cual la presentante es controlada, controlante, subsidiaria o vinculada, ha presentado sus</w:t>
      </w:r>
      <w:r>
        <w:rPr>
          <w:spacing w:val="-8"/>
          <w:sz w:val="24"/>
        </w:rPr>
        <w:t xml:space="preserve"> </w:t>
      </w:r>
      <w:r>
        <w:rPr>
          <w:sz w:val="24"/>
        </w:rPr>
        <w:t>Estados Contables conforme las Normas Internacionales de Información Financiera (NIIF) ante dich</w:t>
      </w:r>
      <w:r>
        <w:rPr>
          <w:sz w:val="24"/>
        </w:rPr>
        <w:t>o Organismo de control y ha cumplido con las pautas para su presentación.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314"/>
        </w:tabs>
        <w:spacing w:before="243" w:line="247" w:lineRule="auto"/>
        <w:ind w:right="102" w:firstLine="0"/>
        <w:rPr>
          <w:sz w:val="24"/>
        </w:rPr>
      </w:pPr>
      <w:r>
        <w:rPr>
          <w:sz w:val="24"/>
        </w:rPr>
        <w:t>Que ha cumplido con todas las obligaciones establecidas por la normativa 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de Personas Jurídicas de la Provincia de Buenos Aires.</w:t>
      </w:r>
    </w:p>
    <w:p w:rsidR="00792C99" w:rsidRDefault="00792C99">
      <w:pPr>
        <w:spacing w:line="247" w:lineRule="auto"/>
        <w:jc w:val="both"/>
        <w:rPr>
          <w:sz w:val="24"/>
        </w:rPr>
        <w:sectPr w:rsidR="00792C99">
          <w:pgSz w:w="12240" w:h="15840"/>
          <w:pgMar w:top="960" w:right="240" w:bottom="280" w:left="1280" w:header="720" w:footer="720" w:gutter="0"/>
          <w:cols w:space="720"/>
        </w:sectPr>
      </w:pPr>
    </w:p>
    <w:p w:rsidR="00792C99" w:rsidRDefault="00452634">
      <w:pPr>
        <w:pStyle w:val="Ttulo1"/>
        <w:spacing w:before="80"/>
        <w:jc w:val="left"/>
        <w:rPr>
          <w:b w:val="0"/>
        </w:rPr>
      </w:pPr>
      <w:r>
        <w:lastRenderedPageBreak/>
        <w:t>TITULO</w:t>
      </w:r>
      <w:r>
        <w:rPr>
          <w:spacing w:val="-9"/>
        </w:rPr>
        <w:t xml:space="preserve"> </w:t>
      </w:r>
      <w:r>
        <w:t>II. Tratamiento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</w:t>
      </w:r>
      <w:r>
        <w:t>sultados</w:t>
      </w:r>
      <w:r>
        <w:rPr>
          <w:spacing w:val="-8"/>
        </w:rPr>
        <w:t xml:space="preserve"> </w:t>
      </w:r>
      <w:r>
        <w:t>negativos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positivos</w:t>
      </w:r>
      <w:r>
        <w:rPr>
          <w:b w:val="0"/>
          <w:spacing w:val="-2"/>
        </w:rPr>
        <w:t>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22"/>
      </w:pPr>
    </w:p>
    <w:p w:rsidR="00792C99" w:rsidRDefault="00452634">
      <w:pPr>
        <w:pStyle w:val="Textoindependiente"/>
        <w:spacing w:line="247" w:lineRule="auto"/>
        <w:ind w:left="120" w:right="204"/>
        <w:jc w:val="both"/>
      </w:pPr>
      <w:r>
        <w:rPr>
          <w:b/>
        </w:rPr>
        <w:t xml:space="preserve">Artículo 11º.– </w:t>
      </w:r>
      <w:r>
        <w:t>Las asambleas de accionistas que deban considerar Estados Contables que contengan resultados negativos en su Estado de resultados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Evolución del Patrimonio Neto surjan resultados negativos acumulados y los mismos impliquen saldos negativos de magnitud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imponga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aplicación,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94º, inciso 5º, 96º ó 206º de la Ley Nº 19.550, o bien, en sentido</w:t>
      </w:r>
      <w:r>
        <w:rPr>
          <w:spacing w:val="-3"/>
        </w:rPr>
        <w:t xml:space="preserve"> </w:t>
      </w:r>
      <w:r>
        <w:t>contr</w:t>
      </w:r>
      <w:r>
        <w:t>ario,</w:t>
      </w:r>
      <w:r>
        <w:rPr>
          <w:spacing w:val="-5"/>
        </w:rPr>
        <w:t xml:space="preserve"> </w:t>
      </w:r>
      <w:r>
        <w:t>saldos positivos susceptibles de tratamiento conforme a los artículos 68º, 70º, párrafo tercero, 189º ó</w:t>
      </w:r>
      <w:r>
        <w:rPr>
          <w:spacing w:val="-8"/>
        </w:rPr>
        <w:t xml:space="preserve"> </w:t>
      </w:r>
      <w:r>
        <w:t>224º,</w:t>
      </w:r>
      <w:r>
        <w:rPr>
          <w:spacing w:val="-9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primero,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misma Ley, deberán adoptar resolución expresa en los términos de las normas citadas.</w:t>
      </w:r>
    </w:p>
    <w:p w:rsidR="00792C99" w:rsidRDefault="00452634">
      <w:pPr>
        <w:pStyle w:val="Textoindependiente"/>
        <w:spacing w:before="245" w:line="247" w:lineRule="auto"/>
        <w:ind w:left="120" w:right="221"/>
        <w:jc w:val="both"/>
      </w:pPr>
      <w:r>
        <w:t>La presentación a la Dirección d</w:t>
      </w:r>
      <w:r>
        <w:t>e Personas Jurídicas de la Provincia de Buenos Aires de</w:t>
      </w:r>
      <w:r>
        <w:rPr>
          <w:spacing w:val="-5"/>
        </w:rPr>
        <w:t xml:space="preserve"> </w:t>
      </w:r>
      <w:r>
        <w:t>los Estados Contables deberá incluir la copia del Acta de</w:t>
      </w:r>
      <w:r>
        <w:rPr>
          <w:spacing w:val="-6"/>
        </w:rPr>
        <w:t xml:space="preserve"> </w:t>
      </w:r>
      <w:r>
        <w:t>asamblea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resulte la</w:t>
      </w:r>
      <w:r>
        <w:rPr>
          <w:spacing w:val="-1"/>
        </w:rPr>
        <w:t xml:space="preserve"> </w:t>
      </w:r>
      <w:r>
        <w:t>observancia de lo dispuesto en el párrafo anterior, y por</w:t>
      </w:r>
      <w:r>
        <w:rPr>
          <w:spacing w:val="40"/>
        </w:rPr>
        <w:t xml:space="preserve"> </w:t>
      </w:r>
      <w:r>
        <w:t>expediente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separado el trámite</w:t>
      </w:r>
      <w:r>
        <w:rPr>
          <w:spacing w:val="-7"/>
        </w:rPr>
        <w:t xml:space="preserve"> </w:t>
      </w:r>
      <w:r>
        <w:t>registral pertinent</w:t>
      </w:r>
      <w:r>
        <w:t>e a la variación del capital social.</w:t>
      </w:r>
    </w:p>
    <w:p w:rsidR="00792C99" w:rsidRDefault="00452634">
      <w:pPr>
        <w:pStyle w:val="Textoindependiente"/>
        <w:spacing w:before="242" w:line="247" w:lineRule="auto"/>
        <w:ind w:left="120" w:right="101"/>
        <w:jc w:val="both"/>
      </w:pPr>
      <w:r>
        <w:t>La adopción de resoluciones sociales conforme al primer párrafo de este artículo, es obligatoria cualesquiera sean las denominaciones o calificaciones con que los saldos allí</w:t>
      </w:r>
      <w:r>
        <w:rPr>
          <w:spacing w:val="-1"/>
        </w:rPr>
        <w:t xml:space="preserve"> </w:t>
      </w:r>
      <w:r>
        <w:t>contemplados aparezcan en los Estados Contab</w:t>
      </w:r>
      <w:r>
        <w:t>les de las sociedades, de acuerdo con las</w:t>
      </w:r>
      <w:r>
        <w:rPr>
          <w:spacing w:val="-1"/>
        </w:rPr>
        <w:t xml:space="preserve"> </w:t>
      </w:r>
      <w:r>
        <w:t>prácticas contables y/o las normas técnicas emitidas, admitidas o aprobadas por entidades profesionales.</w:t>
      </w:r>
    </w:p>
    <w:p w:rsidR="00792C99" w:rsidRDefault="00452634">
      <w:pPr>
        <w:pStyle w:val="Textoindependiente"/>
        <w:spacing w:before="243" w:line="247" w:lineRule="auto"/>
        <w:ind w:left="120" w:right="103"/>
        <w:jc w:val="both"/>
      </w:pPr>
      <w:r>
        <w:t>Los saldos positivos susceptibles de tratamiento conforme al artículo 70º, tercer</w:t>
      </w:r>
      <w:r>
        <w:rPr>
          <w:spacing w:val="-8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N° 19.550, deberá ser considerados por los socios para su aplicación a resultados</w:t>
      </w:r>
      <w:r>
        <w:rPr>
          <w:spacing w:val="-6"/>
        </w:rPr>
        <w:t xml:space="preserve"> </w:t>
      </w:r>
      <w:r>
        <w:t>acumulados para próximos ejercicios y/o reserva facultativa con destino específico,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tulo1"/>
        <w:spacing w:line="247" w:lineRule="auto"/>
        <w:ind w:right="111"/>
      </w:pPr>
      <w:r>
        <w:t>Artículo 12º.- Absorción de resultados negativos. Orden de afectación de rubros</w:t>
      </w:r>
      <w:r>
        <w:rPr>
          <w:spacing w:val="-3"/>
        </w:rPr>
        <w:t xml:space="preserve"> </w:t>
      </w:r>
      <w:r>
        <w:t xml:space="preserve">del </w:t>
      </w:r>
      <w:r>
        <w:t>Patrimonio neto.</w:t>
      </w:r>
    </w:p>
    <w:p w:rsidR="00792C99" w:rsidRDefault="00452634">
      <w:pPr>
        <w:pStyle w:val="Textoindependiente"/>
        <w:spacing w:before="242" w:line="247" w:lineRule="auto"/>
        <w:ind w:left="120" w:right="103"/>
        <w:jc w:val="both"/>
      </w:pPr>
      <w:r>
        <w:t>En el tratamiento por la Asamblea General Ordinaria de los resultados negativos,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absorción</w:t>
      </w:r>
      <w:r>
        <w:rPr>
          <w:spacing w:val="-1"/>
        </w:rPr>
        <w:t xml:space="preserve"> </w:t>
      </w:r>
      <w:r>
        <w:t>de las pérdidas deberá ajustarse al siguiente orden de afectación de saldos de cuentas o rubros del Patrimonio Neto: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329"/>
        </w:tabs>
        <w:spacing w:line="247" w:lineRule="auto"/>
        <w:ind w:right="103" w:firstLine="0"/>
        <w:rPr>
          <w:sz w:val="24"/>
        </w:rPr>
      </w:pPr>
      <w:r>
        <w:rPr>
          <w:sz w:val="24"/>
        </w:rPr>
        <w:t>Reservas legales, estatutari</w:t>
      </w:r>
      <w:r>
        <w:rPr>
          <w:sz w:val="24"/>
        </w:rPr>
        <w:t xml:space="preserve">as y voluntarias, en el orden que, entre todas las mencionadas, apruebe la Asamblea, observando, cuando existan, las estipulaciones estatutarias relativas a la </w:t>
      </w:r>
      <w:r>
        <w:rPr>
          <w:spacing w:val="-2"/>
          <w:sz w:val="24"/>
        </w:rPr>
        <w:t>cuestión.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69"/>
        </w:tabs>
        <w:ind w:left="269" w:hanging="149"/>
        <w:jc w:val="left"/>
        <w:rPr>
          <w:sz w:val="24"/>
        </w:rPr>
      </w:pPr>
      <w:r>
        <w:rPr>
          <w:sz w:val="24"/>
        </w:rPr>
        <w:t>Reserva</w:t>
      </w:r>
      <w:r>
        <w:rPr>
          <w:spacing w:val="-11"/>
          <w:sz w:val="24"/>
        </w:rPr>
        <w:t xml:space="preserve"> </w:t>
      </w:r>
      <w:r>
        <w:rPr>
          <w:sz w:val="24"/>
        </w:rPr>
        <w:t>técnico-contable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revalúos</w:t>
      </w:r>
      <w:r>
        <w:rPr>
          <w:spacing w:val="-9"/>
          <w:sz w:val="24"/>
        </w:rPr>
        <w:t xml:space="preserve"> </w:t>
      </w:r>
      <w:r>
        <w:rPr>
          <w:sz w:val="24"/>
        </w:rPr>
        <w:t>técnicos</w:t>
      </w:r>
      <w:r>
        <w:rPr>
          <w:spacing w:val="-12"/>
          <w:sz w:val="24"/>
        </w:rPr>
        <w:t xml:space="preserve"> </w:t>
      </w:r>
      <w:r>
        <w:rPr>
          <w:sz w:val="24"/>
        </w:rPr>
        <w:t>aprobados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Organismo.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69"/>
        </w:tabs>
        <w:spacing w:before="249"/>
        <w:ind w:left="269" w:hanging="149"/>
        <w:jc w:val="left"/>
        <w:rPr>
          <w:sz w:val="24"/>
        </w:rPr>
      </w:pPr>
      <w:r>
        <w:rPr>
          <w:sz w:val="24"/>
        </w:rPr>
        <w:t>Primas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emisión.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69"/>
        </w:tabs>
        <w:spacing w:before="249"/>
        <w:ind w:left="269" w:hanging="149"/>
        <w:jc w:val="left"/>
        <w:rPr>
          <w:sz w:val="24"/>
        </w:rPr>
      </w:pPr>
      <w:r>
        <w:rPr>
          <w:sz w:val="24"/>
        </w:rPr>
        <w:t>Ajuste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Capital.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84"/>
        </w:tabs>
        <w:spacing w:before="249" w:line="247" w:lineRule="auto"/>
        <w:ind w:right="114" w:firstLine="0"/>
        <w:rPr>
          <w:sz w:val="24"/>
        </w:rPr>
      </w:pPr>
      <w:r>
        <w:rPr>
          <w:sz w:val="24"/>
        </w:rPr>
        <w:t>Aportes irrevocables, si los hubiere, para cuya</w:t>
      </w:r>
      <w:r>
        <w:rPr>
          <w:spacing w:val="-7"/>
          <w:sz w:val="24"/>
        </w:rPr>
        <w:t xml:space="preserve"> </w:t>
      </w:r>
      <w:r>
        <w:rPr>
          <w:sz w:val="24"/>
        </w:rPr>
        <w:t>afectación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deberán</w:t>
      </w:r>
      <w:r>
        <w:rPr>
          <w:spacing w:val="-6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cuenta lo</w:t>
      </w:r>
      <w:r>
        <w:rPr>
          <w:spacing w:val="-2"/>
          <w:sz w:val="24"/>
        </w:rPr>
        <w:t xml:space="preserve"> </w:t>
      </w:r>
      <w:r>
        <w:rPr>
          <w:sz w:val="24"/>
        </w:rPr>
        <w:t>previsto por las normas técnicas contables en vigencia en la Provincia de Buenos Aires.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69"/>
        </w:tabs>
        <w:ind w:left="269" w:hanging="149"/>
        <w:jc w:val="left"/>
        <w:rPr>
          <w:sz w:val="24"/>
        </w:rPr>
      </w:pPr>
      <w:r>
        <w:rPr>
          <w:spacing w:val="-2"/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social.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22"/>
      </w:pPr>
    </w:p>
    <w:p w:rsidR="00792C99" w:rsidRDefault="00452634">
      <w:pPr>
        <w:pStyle w:val="Ttulo1"/>
      </w:pPr>
      <w:r>
        <w:t>TITULO</w:t>
      </w:r>
      <w:r>
        <w:rPr>
          <w:spacing w:val="-8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Revalúos</w:t>
      </w:r>
      <w:r>
        <w:rPr>
          <w:spacing w:val="4"/>
        </w:rPr>
        <w:t xml:space="preserve"> </w:t>
      </w:r>
      <w:r>
        <w:t>técnicos.</w:t>
      </w:r>
      <w:r>
        <w:rPr>
          <w:spacing w:val="1"/>
        </w:rPr>
        <w:t xml:space="preserve"> </w:t>
      </w:r>
      <w:r>
        <w:rPr>
          <w:spacing w:val="-2"/>
        </w:rPr>
        <w:t>Recaudos.</w:t>
      </w:r>
    </w:p>
    <w:p w:rsidR="00792C99" w:rsidRDefault="00792C99">
      <w:pPr>
        <w:sectPr w:rsidR="00792C99">
          <w:pgSz w:w="12240" w:h="15840"/>
          <w:pgMar w:top="460" w:right="240" w:bottom="280" w:left="1280" w:header="720" w:footer="720" w:gutter="0"/>
          <w:cols w:space="720"/>
        </w:sectPr>
      </w:pPr>
    </w:p>
    <w:p w:rsidR="00792C99" w:rsidRDefault="00452634">
      <w:pPr>
        <w:pStyle w:val="Textoindependiente"/>
        <w:spacing w:before="80" w:line="247" w:lineRule="auto"/>
        <w:ind w:left="120" w:right="206"/>
        <w:jc w:val="both"/>
      </w:pPr>
      <w:r>
        <w:rPr>
          <w:b/>
        </w:rPr>
        <w:lastRenderedPageBreak/>
        <w:t>Artículo 13º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r>
        <w:t>Las sociedades podrán medir</w:t>
      </w:r>
      <w:r>
        <w:rPr>
          <w:spacing w:val="35"/>
        </w:rPr>
        <w:t xml:space="preserve"> </w:t>
      </w:r>
      <w:r>
        <w:t>sus bienes</w:t>
      </w:r>
      <w:r>
        <w:rPr>
          <w:spacing w:val="33"/>
        </w:rPr>
        <w:t xml:space="preserve"> </w:t>
      </w:r>
      <w:r>
        <w:t>de uso</w:t>
      </w:r>
      <w:r>
        <w:rPr>
          <w:spacing w:val="-6"/>
        </w:rPr>
        <w:t xml:space="preserve"> </w:t>
      </w:r>
      <w:r>
        <w:t>(excepto activos</w:t>
      </w:r>
      <w:r>
        <w:rPr>
          <w:spacing w:val="-6"/>
        </w:rPr>
        <w:t xml:space="preserve"> </w:t>
      </w:r>
      <w:r>
        <w:t>biológicos)</w:t>
      </w:r>
      <w:r>
        <w:rPr>
          <w:spacing w:val="-1"/>
        </w:rPr>
        <w:t xml:space="preserve"> </w:t>
      </w:r>
      <w:r>
        <w:t>por su valor revaluado, utilizando los criterios contenidos en las normas técnicas en</w:t>
      </w:r>
      <w:r>
        <w:rPr>
          <w:spacing w:val="-5"/>
        </w:rPr>
        <w:t xml:space="preserve"> </w:t>
      </w:r>
      <w:r>
        <w:t>vigencia adoptadas por el Consejo Profesional de Ciencias Ec</w:t>
      </w:r>
      <w:r>
        <w:t>onómicas de la Provincia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Buenos Aires, lo cual requerirá conformidad administrativa previa de este Organismo.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tulo1"/>
        <w:spacing w:before="1"/>
      </w:pPr>
      <w:r>
        <w:t>Artículo</w:t>
      </w:r>
      <w:r>
        <w:rPr>
          <w:spacing w:val="-4"/>
        </w:rPr>
        <w:t xml:space="preserve"> </w:t>
      </w:r>
      <w:r>
        <w:t>14º</w:t>
      </w:r>
      <w:proofErr w:type="gramStart"/>
      <w:r>
        <w:t>.–</w:t>
      </w:r>
      <w:proofErr w:type="gramEnd"/>
      <w:r>
        <w:rPr>
          <w:spacing w:val="-11"/>
        </w:rPr>
        <w:t xml:space="preserve"> </w:t>
      </w:r>
      <w:r>
        <w:t>Revalúos</w:t>
      </w:r>
      <w:r>
        <w:rPr>
          <w:spacing w:val="1"/>
        </w:rPr>
        <w:t xml:space="preserve"> </w:t>
      </w:r>
      <w:r>
        <w:t>técnicos.</w:t>
      </w:r>
      <w:r>
        <w:rPr>
          <w:spacing w:val="-3"/>
        </w:rPr>
        <w:t xml:space="preserve"> </w:t>
      </w:r>
      <w:r>
        <w:t>Presentación.</w:t>
      </w:r>
      <w:r>
        <w:rPr>
          <w:spacing w:val="-9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inscripción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314"/>
        </w:tabs>
        <w:spacing w:before="249" w:line="247" w:lineRule="auto"/>
        <w:ind w:right="224" w:firstLine="0"/>
        <w:rPr>
          <w:sz w:val="24"/>
        </w:rPr>
      </w:pPr>
      <w:r>
        <w:rPr>
          <w:sz w:val="24"/>
        </w:rPr>
        <w:t>Minuta Rogatoria, con el debido timbrado y firmado por el auto</w:t>
      </w:r>
      <w:r>
        <w:rPr>
          <w:sz w:val="24"/>
        </w:rPr>
        <w:t xml:space="preserve">rizado o representante legal </w:t>
      </w:r>
      <w:r>
        <w:rPr>
          <w:spacing w:val="-2"/>
          <w:sz w:val="24"/>
        </w:rPr>
        <w:t>inscripto.</w:t>
      </w:r>
    </w:p>
    <w:p w:rsidR="00792C99" w:rsidRDefault="00452634">
      <w:pPr>
        <w:pStyle w:val="Prrafodelista"/>
        <w:numPr>
          <w:ilvl w:val="0"/>
          <w:numId w:val="2"/>
        </w:numPr>
        <w:tabs>
          <w:tab w:val="left" w:pos="299"/>
        </w:tabs>
        <w:spacing w:before="241" w:line="247" w:lineRule="auto"/>
        <w:ind w:right="206" w:firstLine="0"/>
        <w:rPr>
          <w:sz w:val="24"/>
        </w:rPr>
      </w:pPr>
      <w:r>
        <w:rPr>
          <w:sz w:val="24"/>
        </w:rPr>
        <w:t>Actas de los órganos de administración y de</w:t>
      </w:r>
      <w:r>
        <w:rPr>
          <w:spacing w:val="-6"/>
          <w:sz w:val="24"/>
        </w:rPr>
        <w:t xml:space="preserve"> </w:t>
      </w:r>
      <w:r>
        <w:rPr>
          <w:sz w:val="24"/>
        </w:rPr>
        <w:t>gobierno que</w:t>
      </w:r>
      <w:r>
        <w:rPr>
          <w:spacing w:val="-5"/>
          <w:sz w:val="24"/>
        </w:rPr>
        <w:t xml:space="preserve"> </w:t>
      </w:r>
      <w:r>
        <w:rPr>
          <w:sz w:val="24"/>
        </w:rPr>
        <w:t>aprueban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revalúo</w:t>
      </w:r>
      <w:r>
        <w:rPr>
          <w:spacing w:val="-1"/>
          <w:sz w:val="24"/>
        </w:rPr>
        <w:t xml:space="preserve"> </w:t>
      </w:r>
      <w:r>
        <w:rPr>
          <w:sz w:val="24"/>
        </w:rPr>
        <w:t>efectuado,</w:t>
      </w:r>
      <w:r>
        <w:rPr>
          <w:spacing w:val="-5"/>
          <w:sz w:val="24"/>
        </w:rPr>
        <w:t xml:space="preserve"> </w:t>
      </w:r>
      <w:r>
        <w:rPr>
          <w:sz w:val="24"/>
        </w:rPr>
        <w:t>con los recaudos previstos para su inscripción según la normativa vigente de este Organismo. Las actas deberán contener:</w:t>
      </w:r>
    </w:p>
    <w:p w:rsidR="00792C99" w:rsidRDefault="00452634">
      <w:pPr>
        <w:pStyle w:val="Prrafodelista"/>
        <w:numPr>
          <w:ilvl w:val="0"/>
          <w:numId w:val="1"/>
        </w:numPr>
        <w:tabs>
          <w:tab w:val="left" w:pos="419"/>
        </w:tabs>
        <w:spacing w:line="247" w:lineRule="auto"/>
        <w:ind w:right="206" w:firstLine="0"/>
        <w:jc w:val="both"/>
        <w:rPr>
          <w:sz w:val="24"/>
        </w:rPr>
      </w:pPr>
      <w:r>
        <w:rPr>
          <w:sz w:val="24"/>
        </w:rPr>
        <w:t>Acta del órgano de administración, de la que surjan los fundamentos de la revaluación de</w:t>
      </w:r>
      <w:r>
        <w:rPr>
          <w:spacing w:val="-6"/>
          <w:sz w:val="24"/>
        </w:rPr>
        <w:t xml:space="preserve"> </w:t>
      </w:r>
      <w:r>
        <w:rPr>
          <w:sz w:val="24"/>
        </w:rPr>
        <w:t>los bienes identificando los rubros y bienes a revaluar, la fecha de efecto de la revaluación y la designación de un Perito. El Perito designado será un profesional</w:t>
      </w:r>
      <w:r>
        <w:rPr>
          <w:sz w:val="24"/>
        </w:rPr>
        <w:t xml:space="preserve"> independiente con</w:t>
      </w:r>
      <w:r>
        <w:rPr>
          <w:spacing w:val="-6"/>
          <w:sz w:val="24"/>
        </w:rPr>
        <w:t xml:space="preserve"> </w:t>
      </w:r>
      <w:r>
        <w:rPr>
          <w:sz w:val="24"/>
        </w:rPr>
        <w:t>título habilitante en la incumbencia según los bienes alcanzados, quien no deberá ser socio, administrador, gerente o miembro del órgano de fiscalización, ni estar en relación de</w:t>
      </w:r>
      <w:r>
        <w:rPr>
          <w:spacing w:val="40"/>
          <w:sz w:val="24"/>
        </w:rPr>
        <w:t xml:space="preserve"> </w:t>
      </w:r>
      <w:r>
        <w:rPr>
          <w:sz w:val="24"/>
        </w:rPr>
        <w:t>dependencia con la sociedad interesada.</w:t>
      </w:r>
    </w:p>
    <w:p w:rsidR="00792C99" w:rsidRDefault="00452634">
      <w:pPr>
        <w:pStyle w:val="Prrafodelista"/>
        <w:numPr>
          <w:ilvl w:val="0"/>
          <w:numId w:val="1"/>
        </w:numPr>
        <w:tabs>
          <w:tab w:val="left" w:pos="494"/>
        </w:tabs>
        <w:spacing w:before="244" w:line="247" w:lineRule="auto"/>
        <w:ind w:right="205" w:firstLine="0"/>
        <w:jc w:val="both"/>
        <w:rPr>
          <w:sz w:val="24"/>
        </w:rPr>
      </w:pPr>
      <w:r>
        <w:rPr>
          <w:sz w:val="24"/>
        </w:rPr>
        <w:t>Acta del órgano de</w:t>
      </w:r>
      <w:r>
        <w:rPr>
          <w:sz w:val="24"/>
        </w:rPr>
        <w:t xml:space="preserve"> administración, que apruebe el revalúo efectuado. En el Acta se consignará el importe total del revalúo efectuado; el total del valor residual contable;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saldo a contabilizar; y la fecha en que produce efectos el revalúo y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 Libro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ventario y Balances en el que se ha asentado el informe pericial aprobado.</w:t>
      </w:r>
    </w:p>
    <w:p w:rsidR="00792C99" w:rsidRDefault="00452634">
      <w:pPr>
        <w:pStyle w:val="Prrafodelista"/>
        <w:numPr>
          <w:ilvl w:val="0"/>
          <w:numId w:val="1"/>
        </w:numPr>
        <w:tabs>
          <w:tab w:val="left" w:pos="464"/>
        </w:tabs>
        <w:spacing w:before="243" w:line="247" w:lineRule="auto"/>
        <w:ind w:right="205" w:firstLine="0"/>
        <w:jc w:val="both"/>
        <w:rPr>
          <w:sz w:val="24"/>
        </w:rPr>
      </w:pPr>
      <w:r>
        <w:rPr>
          <w:sz w:val="24"/>
        </w:rPr>
        <w:t>Acta de la asamblea de accionistas celebrada a los efectos de considerar los Estados Contables que incluyan la revaluación técnica, deberá contener la resolución social expresa medi</w:t>
      </w:r>
      <w:r>
        <w:rPr>
          <w:sz w:val="24"/>
        </w:rPr>
        <w:t>ante la cual los accionistas de la sociedad aprueban dicha revaluación, el valor</w:t>
      </w:r>
      <w:r>
        <w:rPr>
          <w:spacing w:val="-3"/>
          <w:sz w:val="24"/>
        </w:rPr>
        <w:t xml:space="preserve"> </w:t>
      </w:r>
      <w:r>
        <w:rPr>
          <w:sz w:val="24"/>
        </w:rPr>
        <w:t>residual contable, el saldo a contabilizar, su destino y la fecha en que produce efecto. Se</w:t>
      </w:r>
      <w:r>
        <w:rPr>
          <w:spacing w:val="-3"/>
          <w:sz w:val="24"/>
        </w:rPr>
        <w:t xml:space="preserve"> </w:t>
      </w:r>
      <w:r>
        <w:rPr>
          <w:sz w:val="24"/>
        </w:rPr>
        <w:t>acompañará</w:t>
      </w:r>
      <w:r>
        <w:rPr>
          <w:spacing w:val="-8"/>
          <w:sz w:val="24"/>
        </w:rPr>
        <w:t xml:space="preserve"> </w:t>
      </w:r>
      <w:r>
        <w:rPr>
          <w:sz w:val="24"/>
        </w:rPr>
        <w:t>el registro de asistencia correspondiente.</w:t>
      </w:r>
    </w:p>
    <w:p w:rsidR="00792C99" w:rsidRDefault="00452634">
      <w:pPr>
        <w:pStyle w:val="Prrafodelista"/>
        <w:numPr>
          <w:ilvl w:val="0"/>
          <w:numId w:val="1"/>
        </w:numPr>
        <w:tabs>
          <w:tab w:val="left" w:pos="434"/>
        </w:tabs>
        <w:spacing w:before="243" w:line="247" w:lineRule="auto"/>
        <w:ind w:right="226" w:firstLine="0"/>
        <w:jc w:val="both"/>
        <w:rPr>
          <w:sz w:val="24"/>
        </w:rPr>
      </w:pPr>
      <w:r>
        <w:rPr>
          <w:sz w:val="24"/>
        </w:rPr>
        <w:t xml:space="preserve">Informe del experto valuador </w:t>
      </w:r>
      <w:r>
        <w:rPr>
          <w:sz w:val="24"/>
        </w:rPr>
        <w:t>independiente, cuya firma deberá</w:t>
      </w:r>
      <w:r>
        <w:rPr>
          <w:spacing w:val="-7"/>
          <w:sz w:val="24"/>
        </w:rPr>
        <w:t xml:space="preserve"> </w:t>
      </w:r>
      <w:r>
        <w:rPr>
          <w:sz w:val="24"/>
        </w:rPr>
        <w:t>encontrarse</w:t>
      </w:r>
      <w:r>
        <w:rPr>
          <w:spacing w:val="-3"/>
          <w:sz w:val="24"/>
        </w:rPr>
        <w:t xml:space="preserve"> </w:t>
      </w:r>
      <w:r>
        <w:rPr>
          <w:sz w:val="24"/>
        </w:rPr>
        <w:t>legalizada por la entidad que ejerce la superintendencia de su profesión.</w:t>
      </w:r>
    </w:p>
    <w:p w:rsidR="00792C99" w:rsidRDefault="00452634">
      <w:pPr>
        <w:pStyle w:val="Textoindependiente"/>
        <w:spacing w:before="242" w:line="247" w:lineRule="auto"/>
        <w:ind w:left="120" w:right="205"/>
        <w:jc w:val="both"/>
      </w:pPr>
      <w:r>
        <w:t>En su Informe, el experto valuador independiente deberá acreditar su incumbencia, detallar</w:t>
      </w:r>
      <w:r>
        <w:rPr>
          <w:spacing w:val="-1"/>
        </w:rPr>
        <w:t xml:space="preserve"> </w:t>
      </w:r>
      <w:r>
        <w:t>los bienes o rubros sometidos a revaluación, l</w:t>
      </w:r>
      <w:r>
        <w:t>a fecha de efectos de la revaluación y la metodología de valuación aplicada y su justificación, consignando todos aquellos datos de los activos revaluados que respalden la medición efectuada (como ser, ubicación, valor de</w:t>
      </w:r>
      <w:r>
        <w:rPr>
          <w:spacing w:val="-5"/>
        </w:rPr>
        <w:t xml:space="preserve"> </w:t>
      </w:r>
      <w:r>
        <w:t>reposición, depreciación acumulada</w:t>
      </w:r>
      <w:r>
        <w:t>, estado de conservación, obsolescencia, expectativa de vida útil, factores de corrección, avances tecnológicos, etc.).</w:t>
      </w:r>
    </w:p>
    <w:p w:rsidR="00792C99" w:rsidRDefault="00452634">
      <w:pPr>
        <w:pStyle w:val="Prrafodelista"/>
        <w:numPr>
          <w:ilvl w:val="0"/>
          <w:numId w:val="1"/>
        </w:numPr>
        <w:tabs>
          <w:tab w:val="left" w:pos="449"/>
        </w:tabs>
        <w:spacing w:before="244" w:line="247" w:lineRule="auto"/>
        <w:ind w:right="222" w:firstLine="0"/>
        <w:jc w:val="both"/>
        <w:rPr>
          <w:sz w:val="24"/>
        </w:rPr>
      </w:pPr>
      <w:r>
        <w:rPr>
          <w:sz w:val="24"/>
        </w:rPr>
        <w:t>Informe del Síndico o el Dictamen del auditor, en el supuesto de que la sociedad hubiera prescindido de la sindicatura, con su opinión f</w:t>
      </w:r>
      <w:r>
        <w:rPr>
          <w:sz w:val="24"/>
        </w:rPr>
        <w:t>undada sobre el cumplimiento por 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 sociedad de los requisitos establecidos</w:t>
      </w:r>
      <w:r>
        <w:rPr>
          <w:spacing w:val="-9"/>
          <w:sz w:val="24"/>
        </w:rPr>
        <w:t xml:space="preserve"> </w:t>
      </w:r>
      <w:r>
        <w:rPr>
          <w:sz w:val="24"/>
        </w:rPr>
        <w:t>por 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Jurídicas 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</w:t>
      </w:r>
      <w:r>
        <w:rPr>
          <w:spacing w:val="-7"/>
          <w:sz w:val="24"/>
        </w:rPr>
        <w:t xml:space="preserve"> </w:t>
      </w:r>
      <w:r>
        <w:rPr>
          <w:sz w:val="24"/>
        </w:rPr>
        <w:t>de Buenos Aires para la contabilización de la revaluación, y sobre la razonabilidad y forma</w:t>
      </w:r>
      <w:r>
        <w:rPr>
          <w:spacing w:val="-8"/>
          <w:sz w:val="24"/>
        </w:rPr>
        <w:t xml:space="preserve"> </w:t>
      </w:r>
      <w:r>
        <w:rPr>
          <w:sz w:val="24"/>
        </w:rPr>
        <w:t>de exposición del revalú</w:t>
      </w:r>
      <w:r>
        <w:rPr>
          <w:sz w:val="24"/>
        </w:rPr>
        <w:t>o técnico practicado.</w:t>
      </w:r>
    </w:p>
    <w:p w:rsidR="00792C99" w:rsidRDefault="00792C99">
      <w:pPr>
        <w:spacing w:line="247" w:lineRule="auto"/>
        <w:jc w:val="both"/>
        <w:rPr>
          <w:sz w:val="24"/>
        </w:rPr>
        <w:sectPr w:rsidR="00792C99">
          <w:pgSz w:w="12240" w:h="15840"/>
          <w:pgMar w:top="1000" w:right="240" w:bottom="280" w:left="1280" w:header="720" w:footer="720" w:gutter="0"/>
          <w:cols w:space="720"/>
        </w:sectPr>
      </w:pPr>
    </w:p>
    <w:p w:rsidR="00792C99" w:rsidRDefault="00452634">
      <w:pPr>
        <w:pStyle w:val="Ttulo1"/>
        <w:spacing w:before="70"/>
      </w:pPr>
      <w:r>
        <w:lastRenderedPageBreak/>
        <w:t>Artículo</w:t>
      </w:r>
      <w:r>
        <w:rPr>
          <w:spacing w:val="-3"/>
        </w:rPr>
        <w:t xml:space="preserve"> </w:t>
      </w:r>
      <w:r>
        <w:t>15º</w:t>
      </w:r>
      <w:proofErr w:type="gramStart"/>
      <w:r>
        <w:t>.–</w:t>
      </w:r>
      <w:proofErr w:type="gramEnd"/>
      <w:r>
        <w:rPr>
          <w:spacing w:val="-10"/>
        </w:rPr>
        <w:t xml:space="preserve"> </w:t>
      </w:r>
      <w:r>
        <w:t>Revalúo</w:t>
      </w:r>
      <w:r>
        <w:rPr>
          <w:spacing w:val="1"/>
        </w:rPr>
        <w:t xml:space="preserve"> </w:t>
      </w:r>
      <w:r>
        <w:t>técnico.</w:t>
      </w:r>
      <w:r>
        <w:rPr>
          <w:spacing w:val="-2"/>
        </w:rPr>
        <w:t xml:space="preserve"> </w:t>
      </w:r>
      <w:r>
        <w:t>Saldo.</w:t>
      </w:r>
      <w:r>
        <w:rPr>
          <w:spacing w:val="4"/>
        </w:rPr>
        <w:t xml:space="preserve"> </w:t>
      </w:r>
      <w:r>
        <w:rPr>
          <w:spacing w:val="-2"/>
        </w:rPr>
        <w:t>Destino.</w:t>
      </w:r>
    </w:p>
    <w:p w:rsidR="00792C99" w:rsidRDefault="00452634">
      <w:pPr>
        <w:pStyle w:val="Textoindependiente"/>
        <w:spacing w:before="249" w:line="247" w:lineRule="auto"/>
        <w:ind w:left="120" w:right="108"/>
        <w:jc w:val="both"/>
      </w:pPr>
      <w:r>
        <w:t>El</w:t>
      </w:r>
      <w:r>
        <w:rPr>
          <w:spacing w:val="40"/>
        </w:rPr>
        <w:t xml:space="preserve"> </w:t>
      </w:r>
      <w:r>
        <w:t>saldo</w:t>
      </w:r>
      <w:r>
        <w:rPr>
          <w:spacing w:val="40"/>
        </w:rPr>
        <w:t xml:space="preserve"> </w:t>
      </w:r>
      <w:r>
        <w:t>resultante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 revalúo se destinará a una reserva técnico-contable que</w:t>
      </w:r>
      <w:r>
        <w:rPr>
          <w:spacing w:val="-4"/>
        </w:rPr>
        <w:t xml:space="preserve"> </w:t>
      </w:r>
      <w:r>
        <w:t>será identificada en el Patrimonio Neto de los Estados Contables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dicha reserva se</w:t>
      </w:r>
      <w:r>
        <w:rPr>
          <w:spacing w:val="-8"/>
        </w:rPr>
        <w:t xml:space="preserve"> </w:t>
      </w:r>
      <w:r>
        <w:t>le dará el tratamiento previsto por las</w:t>
      </w:r>
      <w:r>
        <w:rPr>
          <w:spacing w:val="-2"/>
        </w:rPr>
        <w:t xml:space="preserve"> </w:t>
      </w:r>
      <w:r>
        <w:t>normas técnicas</w:t>
      </w:r>
      <w:r>
        <w:rPr>
          <w:spacing w:val="-5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vigentes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Buenos </w:t>
      </w:r>
      <w:r>
        <w:rPr>
          <w:spacing w:val="-2"/>
        </w:rPr>
        <w:t>Aires.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tulo1"/>
        <w:spacing w:before="1"/>
      </w:pPr>
      <w:r>
        <w:t>TITULO</w:t>
      </w:r>
      <w:r>
        <w:rPr>
          <w:spacing w:val="-9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Registros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libros</w:t>
      </w:r>
      <w:r>
        <w:rPr>
          <w:spacing w:val="-3"/>
        </w:rPr>
        <w:t xml:space="preserve"> </w:t>
      </w:r>
      <w:r>
        <w:rPr>
          <w:spacing w:val="-2"/>
        </w:rPr>
        <w:t>contables.</w:t>
      </w:r>
    </w:p>
    <w:p w:rsidR="00792C99" w:rsidRDefault="00792C99">
      <w:pPr>
        <w:pStyle w:val="Textoindependiente"/>
        <w:rPr>
          <w:b/>
        </w:rPr>
      </w:pPr>
    </w:p>
    <w:p w:rsidR="00792C99" w:rsidRDefault="00792C99">
      <w:pPr>
        <w:pStyle w:val="Textoindependiente"/>
        <w:spacing w:before="222"/>
        <w:rPr>
          <w:b/>
        </w:rPr>
      </w:pPr>
    </w:p>
    <w:p w:rsidR="00792C99" w:rsidRDefault="00452634">
      <w:pPr>
        <w:pStyle w:val="Textoindependiente"/>
        <w:spacing w:line="247" w:lineRule="auto"/>
        <w:ind w:left="120" w:right="102"/>
        <w:jc w:val="both"/>
      </w:pPr>
      <w:r>
        <w:rPr>
          <w:b/>
        </w:rPr>
        <w:t xml:space="preserve">Artículo 16º.- </w:t>
      </w:r>
      <w:r>
        <w:t>Los registros y libros contables deberán ser llevados conforme lo estab</w:t>
      </w:r>
      <w:r>
        <w:t>lecido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 Ley N° 19.550, siendo aplicable lo dispuesto en la Sección 7°, Capítulo V, del Título IV,</w:t>
      </w:r>
      <w:r>
        <w:rPr>
          <w:spacing w:val="-2"/>
        </w:rPr>
        <w:t xml:space="preserve"> </w:t>
      </w:r>
      <w:r>
        <w:t>Libro Primero, Parte General del Código Civil y Comercial de la Nación en su parte pertinente,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 cuanto no esté previsto de</w:t>
      </w:r>
      <w:r>
        <w:rPr>
          <w:spacing w:val="-6"/>
        </w:rPr>
        <w:t xml:space="preserve"> </w:t>
      </w:r>
      <w:r>
        <w:t>diferente forma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citada, en</w:t>
      </w:r>
      <w:r>
        <w:rPr>
          <w:spacing w:val="-6"/>
        </w:rPr>
        <w:t xml:space="preserve"> </w:t>
      </w:r>
      <w:r>
        <w:t>disposiciones reglamentarias</w:t>
      </w:r>
      <w:r>
        <w:rPr>
          <w:spacing w:val="-6"/>
        </w:rPr>
        <w:t xml:space="preserve"> </w:t>
      </w:r>
      <w:r>
        <w:t>y/o en las presentes Normas.</w:t>
      </w:r>
    </w:p>
    <w:p w:rsidR="00792C99" w:rsidRDefault="00452634">
      <w:pPr>
        <w:pStyle w:val="Textoindependiente"/>
        <w:spacing w:before="243" w:line="247" w:lineRule="auto"/>
        <w:ind w:left="120" w:right="108"/>
        <w:jc w:val="both"/>
      </w:pPr>
      <w:r>
        <w:t>A los fines de lo dispuesto en el artículo 325 del Código Civil y Comercial de</w:t>
      </w:r>
      <w:r>
        <w:rPr>
          <w:spacing w:val="-5"/>
        </w:rPr>
        <w:t xml:space="preserve"> </w:t>
      </w:r>
      <w:r>
        <w:t>la Nación, los registros y libros contables deberán permanecer en la sede social inscripta.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extoindependiente"/>
        <w:spacing w:line="247" w:lineRule="auto"/>
        <w:ind w:left="120" w:right="104" w:hanging="1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17º</w:t>
      </w:r>
      <w:r>
        <w:t>.- Apruébese el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Anexo 27</w:t>
      </w:r>
      <w:r>
        <w:rPr>
          <w:spacing w:val="-5"/>
        </w:rPr>
        <w:t xml:space="preserve"> </w:t>
      </w:r>
      <w:r>
        <w:t>para “Sociedades</w:t>
      </w:r>
      <w:r>
        <w:rPr>
          <w:spacing w:val="-7"/>
        </w:rPr>
        <w:t xml:space="preserve"> </w:t>
      </w:r>
      <w:r>
        <w:t>por Acciones</w:t>
      </w:r>
      <w:r>
        <w:rPr>
          <w:spacing w:val="-7"/>
        </w:rPr>
        <w:t xml:space="preserve"> </w:t>
      </w:r>
      <w:r>
        <w:t>No Controladas” consignado en el artículo 1 inciso f).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4"/>
      </w:pPr>
    </w:p>
    <w:p w:rsidR="00792C99" w:rsidRDefault="00452634">
      <w:pPr>
        <w:pStyle w:val="Textoindependiente"/>
        <w:spacing w:before="1" w:line="247" w:lineRule="auto"/>
        <w:ind w:left="120" w:right="105"/>
        <w:jc w:val="both"/>
      </w:pPr>
      <w:r>
        <w:rPr>
          <w:b/>
        </w:rPr>
        <w:t xml:space="preserve">Artículo 18º.- </w:t>
      </w:r>
      <w:r>
        <w:t>Establecer para el pago de tasa de Trámite Preferencial conforme Ley Convenio 14.028, de 1, 4 o 15 días, la correspondi</w:t>
      </w:r>
      <w:r>
        <w:t>ente a “Presentación de Ejercicios Económicos”.</w:t>
      </w:r>
    </w:p>
    <w:p w:rsidR="00792C99" w:rsidRDefault="00452634">
      <w:pPr>
        <w:pStyle w:val="Textoindependiente"/>
        <w:spacing w:before="241" w:line="247" w:lineRule="auto"/>
        <w:ind w:left="120" w:right="107"/>
        <w:jc w:val="both"/>
      </w:pPr>
      <w:r>
        <w:t>La presentación fuera de término de los estados contables –de acuerdo a lo señalado en</w:t>
      </w:r>
      <w:r>
        <w:rPr>
          <w:spacing w:val="-5"/>
        </w:rPr>
        <w:t xml:space="preserve"> </w:t>
      </w:r>
      <w:r>
        <w:t>el artículo 19- abonará la tasa especial que a tal efecto se establezca.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extoindependiente"/>
        <w:spacing w:line="247" w:lineRule="auto"/>
        <w:ind w:left="120" w:right="105"/>
        <w:jc w:val="both"/>
      </w:pPr>
      <w:r>
        <w:rPr>
          <w:b/>
        </w:rPr>
        <w:t xml:space="preserve">Artículo 19º.- </w:t>
      </w:r>
      <w:r>
        <w:t>La falta de presentación de la documentación post asamblearia 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presentación fuera de término, habilitará a la Dirección Provincial de Personas Jurídicas adoptar las</w:t>
      </w:r>
      <w:r>
        <w:rPr>
          <w:spacing w:val="-1"/>
        </w:rPr>
        <w:t xml:space="preserve"> </w:t>
      </w:r>
      <w:r>
        <w:t xml:space="preserve">sanciones </w:t>
      </w:r>
      <w:r>
        <w:rPr>
          <w:spacing w:val="-2"/>
        </w:rPr>
        <w:t>correspondientes.</w:t>
      </w:r>
    </w:p>
    <w:p w:rsidR="00792C99" w:rsidRDefault="00452634">
      <w:pPr>
        <w:pStyle w:val="Textoindependiente"/>
        <w:spacing w:before="242" w:line="247" w:lineRule="auto"/>
        <w:ind w:left="120" w:right="102"/>
        <w:jc w:val="both"/>
      </w:pPr>
      <w:r>
        <w:t>Será considerada fuera de término la presentación realizada</w:t>
      </w:r>
      <w:r>
        <w:t xml:space="preserve"> pasados los cinco (5)</w:t>
      </w:r>
      <w:r>
        <w:rPr>
          <w:spacing w:val="-2"/>
        </w:rPr>
        <w:t xml:space="preserve"> </w:t>
      </w:r>
      <w:r>
        <w:t xml:space="preserve">meses de vencido el ejercicio económico o vencido el plazo previsto en el artículo 1 de la presente </w:t>
      </w:r>
      <w:r>
        <w:rPr>
          <w:spacing w:val="-2"/>
        </w:rPr>
        <w:t>disposición.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extoindependiente"/>
        <w:spacing w:line="247" w:lineRule="auto"/>
        <w:ind w:left="120" w:right="103" w:hanging="1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 xml:space="preserve">20º.- </w:t>
      </w:r>
      <w:r>
        <w:t>La presente disposición comenzará a regir a</w:t>
      </w:r>
      <w:r>
        <w:rPr>
          <w:spacing w:val="-7"/>
        </w:rPr>
        <w:t xml:space="preserve"> </w:t>
      </w:r>
      <w:r>
        <w:t>partir del octavo día de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publicación en el Boletín Ofici</w:t>
      </w:r>
      <w:r>
        <w:t>al de la Provincia de Buenos Aires y será operativa para los ejercicios económicos que finalicen a partir del 30/06/2024 –inclusive-.</w:t>
      </w:r>
    </w:p>
    <w:p w:rsidR="00792C99" w:rsidRDefault="00792C99">
      <w:pPr>
        <w:spacing w:line="247" w:lineRule="auto"/>
        <w:jc w:val="both"/>
        <w:sectPr w:rsidR="00792C99">
          <w:pgSz w:w="12240" w:h="15840"/>
          <w:pgMar w:top="680" w:right="240" w:bottom="280" w:left="1280" w:header="720" w:footer="720" w:gutter="0"/>
          <w:cols w:space="720"/>
        </w:sectPr>
      </w:pPr>
    </w:p>
    <w:p w:rsidR="00792C99" w:rsidRDefault="00452634">
      <w:pPr>
        <w:pStyle w:val="Textoindependiente"/>
        <w:spacing w:before="70" w:line="247" w:lineRule="auto"/>
        <w:ind w:left="120" w:right="107"/>
        <w:jc w:val="both"/>
      </w:pPr>
      <w:r>
        <w:rPr>
          <w:b/>
        </w:rPr>
        <w:lastRenderedPageBreak/>
        <w:t xml:space="preserve">Artículo 21º.- </w:t>
      </w:r>
      <w:r>
        <w:t>Disponer los medios necesarios para la más amplia publicidad y difusión de la presente por cartel</w:t>
      </w:r>
      <w:r>
        <w:t>ería institucional, carga en página web del Organismo y demás sitios</w:t>
      </w:r>
      <w:r>
        <w:rPr>
          <w:spacing w:val="40"/>
        </w:rPr>
        <w:t xml:space="preserve"> </w:t>
      </w:r>
      <w:r>
        <w:t>habilitados al efecto.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215"/>
      </w:pPr>
    </w:p>
    <w:p w:rsidR="00792C99" w:rsidRDefault="00452634">
      <w:pPr>
        <w:pStyle w:val="Textoindependiente"/>
        <w:spacing w:line="247" w:lineRule="auto"/>
        <w:ind w:left="120" w:right="99"/>
        <w:jc w:val="both"/>
      </w:pPr>
      <w:r>
        <w:rPr>
          <w:b/>
        </w:rPr>
        <w:t xml:space="preserve">Artículo 22º: </w:t>
      </w:r>
      <w:r>
        <w:t>Regístrese, Publíquese en el Boletín Oficial e Incorpórese al SINBA. Cumplido comuníquese a las Direcciones de Fiscalización, Legitimaciones, Regist</w:t>
      </w:r>
      <w:r>
        <w:t>ro, de</w:t>
      </w:r>
      <w:r>
        <w:rPr>
          <w:spacing w:val="-5"/>
        </w:rPr>
        <w:t xml:space="preserve"> </w:t>
      </w:r>
      <w:r>
        <w:t>Asociaciones</w:t>
      </w:r>
      <w:r>
        <w:rPr>
          <w:spacing w:val="40"/>
        </w:rPr>
        <w:t xml:space="preserve"> </w:t>
      </w:r>
      <w:r>
        <w:t>Civiles y Mutuales, a la Unidad de Coordinación del Registro Público de Administradores de Consorcios de Propiedad Horizontal de la Provincia de Buenos Aires, a las Oficinas</w:t>
      </w:r>
      <w:r>
        <w:rPr>
          <w:spacing w:val="-6"/>
        </w:rPr>
        <w:t xml:space="preserve"> </w:t>
      </w:r>
      <w:r>
        <w:t>Delegadas. Cumplido, archívese.</w:t>
      </w: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</w:pPr>
    </w:p>
    <w:p w:rsidR="00792C99" w:rsidRDefault="00792C99">
      <w:pPr>
        <w:pStyle w:val="Textoindependiente"/>
        <w:spacing w:before="90"/>
      </w:pPr>
    </w:p>
    <w:p w:rsidR="00792C99" w:rsidRDefault="00452634">
      <w:pPr>
        <w:spacing w:line="213" w:lineRule="auto"/>
        <w:ind w:left="160" w:right="8299"/>
        <w:rPr>
          <w:sz w:val="11"/>
        </w:rPr>
      </w:pPr>
      <w:r>
        <w:rPr>
          <w:sz w:val="11"/>
        </w:rPr>
        <w:t>Digitally signed by GARCIA Silvia Andrea</w:t>
      </w:r>
      <w:r>
        <w:rPr>
          <w:spacing w:val="40"/>
          <w:sz w:val="11"/>
        </w:rPr>
        <w:t xml:space="preserve"> </w:t>
      </w:r>
      <w:r>
        <w:rPr>
          <w:sz w:val="11"/>
        </w:rPr>
        <w:t>Date: 2024.05.10 14:34:07 ART</w:t>
      </w:r>
    </w:p>
    <w:p w:rsidR="00792C99" w:rsidRDefault="00452634">
      <w:pPr>
        <w:spacing w:line="116" w:lineRule="exact"/>
        <w:ind w:left="160"/>
        <w:rPr>
          <w:sz w:val="11"/>
        </w:rPr>
      </w:pPr>
      <w:r>
        <w:rPr>
          <w:sz w:val="11"/>
        </w:rPr>
        <w:t>Location:</w:t>
      </w:r>
      <w:r>
        <w:rPr>
          <w:spacing w:val="6"/>
          <w:sz w:val="11"/>
        </w:rPr>
        <w:t xml:space="preserve"> </w:t>
      </w:r>
      <w:r>
        <w:rPr>
          <w:sz w:val="11"/>
        </w:rPr>
        <w:t>Provincia</w:t>
      </w:r>
      <w:r>
        <w:rPr>
          <w:spacing w:val="7"/>
          <w:sz w:val="11"/>
        </w:rPr>
        <w:t xml:space="preserve"> </w:t>
      </w:r>
      <w:r>
        <w:rPr>
          <w:sz w:val="11"/>
        </w:rPr>
        <w:t>de</w:t>
      </w:r>
      <w:r>
        <w:rPr>
          <w:spacing w:val="7"/>
          <w:sz w:val="11"/>
        </w:rPr>
        <w:t xml:space="preserve"> </w:t>
      </w:r>
      <w:r>
        <w:rPr>
          <w:sz w:val="11"/>
        </w:rPr>
        <w:t>Buenos</w:t>
      </w:r>
      <w:r>
        <w:rPr>
          <w:spacing w:val="7"/>
          <w:sz w:val="11"/>
        </w:rPr>
        <w:t xml:space="preserve"> </w:t>
      </w:r>
      <w:r>
        <w:rPr>
          <w:spacing w:val="-2"/>
          <w:sz w:val="11"/>
        </w:rPr>
        <w:t>Aires</w:t>
      </w:r>
    </w:p>
    <w:p w:rsidR="00792C99" w:rsidRDefault="00452634">
      <w:pPr>
        <w:spacing w:before="72" w:line="261" w:lineRule="auto"/>
        <w:ind w:left="160" w:right="8645"/>
        <w:rPr>
          <w:rFonts w:ascii="Times New Roman"/>
          <w:sz w:val="16"/>
        </w:rPr>
      </w:pPr>
      <w:r>
        <w:rPr>
          <w:rFonts w:ascii="Times New Roman"/>
          <w:sz w:val="16"/>
        </w:rPr>
        <w:t>Silvia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Andrea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Garcia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z w:val="16"/>
        </w:rPr>
        <w:t xml:space="preserve">Directora </w:t>
      </w:r>
      <w:r>
        <w:rPr>
          <w:rFonts w:ascii="Times New Roman"/>
          <w:spacing w:val="-2"/>
          <w:sz w:val="16"/>
        </w:rPr>
        <w:t>Provincial</w:t>
      </w:r>
    </w:p>
    <w:p w:rsidR="00792C99" w:rsidRDefault="00452634">
      <w:pPr>
        <w:spacing w:before="3" w:line="232" w:lineRule="auto"/>
        <w:ind w:left="160" w:right="775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Provincial de Personas Jurídicas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Ministerio de Justicia y Derechos </w:t>
      </w:r>
      <w:r>
        <w:rPr>
          <w:rFonts w:ascii="Times New Roman" w:hAnsi="Times New Roman"/>
          <w:spacing w:val="-2"/>
          <w:sz w:val="16"/>
        </w:rPr>
        <w:t>Humanos</w:t>
      </w: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rPr>
          <w:rFonts w:ascii="Times New Roman"/>
          <w:sz w:val="16"/>
        </w:rPr>
      </w:pPr>
    </w:p>
    <w:p w:rsidR="00792C99" w:rsidRDefault="00792C99">
      <w:pPr>
        <w:pStyle w:val="Textoindependiente"/>
        <w:spacing w:before="123"/>
        <w:rPr>
          <w:rFonts w:ascii="Times New Roman"/>
          <w:sz w:val="16"/>
        </w:rPr>
      </w:pPr>
    </w:p>
    <w:p w:rsidR="00792C99" w:rsidRPr="00452634" w:rsidRDefault="00452634">
      <w:pPr>
        <w:ind w:left="7750"/>
        <w:rPr>
          <w:sz w:val="10"/>
          <w:lang w:val="en-US"/>
        </w:rPr>
      </w:pPr>
      <w:r w:rsidRPr="00452634">
        <w:rPr>
          <w:sz w:val="10"/>
          <w:lang w:val="en-US"/>
        </w:rPr>
        <w:t>Digitally</w:t>
      </w:r>
      <w:r w:rsidRPr="00452634">
        <w:rPr>
          <w:spacing w:val="-1"/>
          <w:sz w:val="10"/>
          <w:lang w:val="en-US"/>
        </w:rPr>
        <w:t xml:space="preserve"> </w:t>
      </w:r>
      <w:r w:rsidRPr="00452634">
        <w:rPr>
          <w:sz w:val="10"/>
          <w:lang w:val="en-US"/>
        </w:rPr>
        <w:t>signed</w:t>
      </w:r>
      <w:r w:rsidRPr="00452634">
        <w:rPr>
          <w:spacing w:val="-1"/>
          <w:sz w:val="10"/>
          <w:lang w:val="en-US"/>
        </w:rPr>
        <w:t xml:space="preserve"> </w:t>
      </w:r>
      <w:r w:rsidRPr="00452634">
        <w:rPr>
          <w:sz w:val="10"/>
          <w:lang w:val="en-US"/>
        </w:rPr>
        <w:t>by</w:t>
      </w:r>
      <w:r w:rsidRPr="00452634">
        <w:rPr>
          <w:spacing w:val="-1"/>
          <w:sz w:val="10"/>
          <w:lang w:val="en-US"/>
        </w:rPr>
        <w:t xml:space="preserve"> </w:t>
      </w:r>
      <w:r w:rsidRPr="00452634">
        <w:rPr>
          <w:sz w:val="10"/>
          <w:lang w:val="en-US"/>
        </w:rPr>
        <w:t>GDE BUENOS</w:t>
      </w:r>
      <w:r w:rsidRPr="00452634">
        <w:rPr>
          <w:spacing w:val="-1"/>
          <w:sz w:val="10"/>
          <w:lang w:val="en-US"/>
        </w:rPr>
        <w:t xml:space="preserve"> </w:t>
      </w:r>
      <w:r w:rsidRPr="00452634">
        <w:rPr>
          <w:spacing w:val="-2"/>
          <w:sz w:val="10"/>
          <w:lang w:val="en-US"/>
        </w:rPr>
        <w:t>AIRES</w:t>
      </w:r>
    </w:p>
    <w:p w:rsidR="00792C99" w:rsidRDefault="00452634">
      <w:pPr>
        <w:spacing w:before="5" w:line="249" w:lineRule="auto"/>
        <w:ind w:left="7750" w:right="325"/>
        <w:rPr>
          <w:sz w:val="10"/>
        </w:rPr>
      </w:pPr>
      <w:r>
        <w:rPr>
          <w:sz w:val="10"/>
        </w:rPr>
        <w:t>DN:</w:t>
      </w:r>
      <w:r>
        <w:rPr>
          <w:spacing w:val="-7"/>
          <w:sz w:val="10"/>
        </w:rPr>
        <w:t xml:space="preserve"> </w:t>
      </w:r>
      <w:r>
        <w:rPr>
          <w:sz w:val="10"/>
        </w:rPr>
        <w:t>cn=GDE</w:t>
      </w:r>
      <w:r>
        <w:rPr>
          <w:spacing w:val="-7"/>
          <w:sz w:val="10"/>
        </w:rPr>
        <w:t xml:space="preserve"> </w:t>
      </w:r>
      <w:r>
        <w:rPr>
          <w:sz w:val="10"/>
        </w:rPr>
        <w:t>BUENOS</w:t>
      </w:r>
      <w:r>
        <w:rPr>
          <w:spacing w:val="-7"/>
          <w:sz w:val="10"/>
        </w:rPr>
        <w:t xml:space="preserve"> </w:t>
      </w:r>
      <w:r>
        <w:rPr>
          <w:sz w:val="10"/>
        </w:rPr>
        <w:t>AIRES,</w:t>
      </w:r>
      <w:r>
        <w:rPr>
          <w:spacing w:val="-7"/>
          <w:sz w:val="10"/>
        </w:rPr>
        <w:t xml:space="preserve"> </w:t>
      </w:r>
      <w:r>
        <w:rPr>
          <w:sz w:val="10"/>
        </w:rPr>
        <w:t>c=AR,</w:t>
      </w:r>
      <w:r>
        <w:rPr>
          <w:spacing w:val="-6"/>
          <w:sz w:val="10"/>
        </w:rPr>
        <w:t xml:space="preserve"> </w:t>
      </w:r>
      <w:r>
        <w:rPr>
          <w:sz w:val="10"/>
        </w:rPr>
        <w:t>o=MINISTERIO</w:t>
      </w:r>
      <w:r>
        <w:rPr>
          <w:spacing w:val="-7"/>
          <w:sz w:val="10"/>
        </w:rPr>
        <w:t xml:space="preserve"> </w:t>
      </w:r>
      <w:r>
        <w:rPr>
          <w:sz w:val="10"/>
        </w:rPr>
        <w:t>DE</w:t>
      </w:r>
      <w:r>
        <w:rPr>
          <w:spacing w:val="40"/>
          <w:sz w:val="10"/>
        </w:rPr>
        <w:t xml:space="preserve"> </w:t>
      </w:r>
      <w:r>
        <w:rPr>
          <w:sz w:val="10"/>
        </w:rPr>
        <w:t>GOBIERNO BS.AS., ou=SUBSECRETARIA DE</w:t>
      </w:r>
      <w:r>
        <w:rPr>
          <w:spacing w:val="40"/>
          <w:sz w:val="10"/>
        </w:rPr>
        <w:t xml:space="preserve"> </w:t>
      </w:r>
      <w:r>
        <w:rPr>
          <w:sz w:val="10"/>
        </w:rPr>
        <w:t>GOBIERNO DIGITAL, serialNumber=CUIT 30715124234</w:t>
      </w:r>
      <w:r>
        <w:rPr>
          <w:spacing w:val="40"/>
          <w:sz w:val="10"/>
        </w:rPr>
        <w:t xml:space="preserve"> </w:t>
      </w:r>
      <w:r>
        <w:rPr>
          <w:sz w:val="10"/>
        </w:rPr>
        <w:t>Date: 2024.05.10 14:34:11 -03'00'</w:t>
      </w:r>
    </w:p>
    <w:sectPr w:rsidR="00792C99">
      <w:pgSz w:w="12240" w:h="15840"/>
      <w:pgMar w:top="440" w:right="2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5B3"/>
    <w:multiLevelType w:val="hybridMultilevel"/>
    <w:tmpl w:val="5E566936"/>
    <w:lvl w:ilvl="0" w:tplc="D7CC4194">
      <w:start w:val="1"/>
      <w:numFmt w:val="lowerLetter"/>
      <w:lvlText w:val="%1)"/>
      <w:lvlJc w:val="left"/>
      <w:pPr>
        <w:ind w:left="120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359E4194">
      <w:numFmt w:val="bullet"/>
      <w:lvlText w:val="•"/>
      <w:lvlJc w:val="left"/>
      <w:pPr>
        <w:ind w:left="1180" w:hanging="330"/>
      </w:pPr>
      <w:rPr>
        <w:rFonts w:hint="default"/>
        <w:lang w:val="es-ES" w:eastAsia="en-US" w:bidi="ar-SA"/>
      </w:rPr>
    </w:lvl>
    <w:lvl w:ilvl="2" w:tplc="3D58B356">
      <w:numFmt w:val="bullet"/>
      <w:lvlText w:val="•"/>
      <w:lvlJc w:val="left"/>
      <w:pPr>
        <w:ind w:left="2240" w:hanging="330"/>
      </w:pPr>
      <w:rPr>
        <w:rFonts w:hint="default"/>
        <w:lang w:val="es-ES" w:eastAsia="en-US" w:bidi="ar-SA"/>
      </w:rPr>
    </w:lvl>
    <w:lvl w:ilvl="3" w:tplc="893A1088">
      <w:numFmt w:val="bullet"/>
      <w:lvlText w:val="•"/>
      <w:lvlJc w:val="left"/>
      <w:pPr>
        <w:ind w:left="3300" w:hanging="330"/>
      </w:pPr>
      <w:rPr>
        <w:rFonts w:hint="default"/>
        <w:lang w:val="es-ES" w:eastAsia="en-US" w:bidi="ar-SA"/>
      </w:rPr>
    </w:lvl>
    <w:lvl w:ilvl="4" w:tplc="7090D280">
      <w:numFmt w:val="bullet"/>
      <w:lvlText w:val="•"/>
      <w:lvlJc w:val="left"/>
      <w:pPr>
        <w:ind w:left="4360" w:hanging="330"/>
      </w:pPr>
      <w:rPr>
        <w:rFonts w:hint="default"/>
        <w:lang w:val="es-ES" w:eastAsia="en-US" w:bidi="ar-SA"/>
      </w:rPr>
    </w:lvl>
    <w:lvl w:ilvl="5" w:tplc="0ADE481A">
      <w:numFmt w:val="bullet"/>
      <w:lvlText w:val="•"/>
      <w:lvlJc w:val="left"/>
      <w:pPr>
        <w:ind w:left="5420" w:hanging="330"/>
      </w:pPr>
      <w:rPr>
        <w:rFonts w:hint="default"/>
        <w:lang w:val="es-ES" w:eastAsia="en-US" w:bidi="ar-SA"/>
      </w:rPr>
    </w:lvl>
    <w:lvl w:ilvl="6" w:tplc="60ECAF98">
      <w:numFmt w:val="bullet"/>
      <w:lvlText w:val="•"/>
      <w:lvlJc w:val="left"/>
      <w:pPr>
        <w:ind w:left="6480" w:hanging="330"/>
      </w:pPr>
      <w:rPr>
        <w:rFonts w:hint="default"/>
        <w:lang w:val="es-ES" w:eastAsia="en-US" w:bidi="ar-SA"/>
      </w:rPr>
    </w:lvl>
    <w:lvl w:ilvl="7" w:tplc="DF08F850">
      <w:numFmt w:val="bullet"/>
      <w:lvlText w:val="•"/>
      <w:lvlJc w:val="left"/>
      <w:pPr>
        <w:ind w:left="7540" w:hanging="330"/>
      </w:pPr>
      <w:rPr>
        <w:rFonts w:hint="default"/>
        <w:lang w:val="es-ES" w:eastAsia="en-US" w:bidi="ar-SA"/>
      </w:rPr>
    </w:lvl>
    <w:lvl w:ilvl="8" w:tplc="AF2E0148">
      <w:numFmt w:val="bullet"/>
      <w:lvlText w:val="•"/>
      <w:lvlJc w:val="left"/>
      <w:pPr>
        <w:ind w:left="8600" w:hanging="330"/>
      </w:pPr>
      <w:rPr>
        <w:rFonts w:hint="default"/>
        <w:lang w:val="es-ES" w:eastAsia="en-US" w:bidi="ar-SA"/>
      </w:rPr>
    </w:lvl>
  </w:abstractNum>
  <w:abstractNum w:abstractNumId="1">
    <w:nsid w:val="3DF777EE"/>
    <w:multiLevelType w:val="hybridMultilevel"/>
    <w:tmpl w:val="4C04C644"/>
    <w:lvl w:ilvl="0" w:tplc="DA8CDB98">
      <w:numFmt w:val="bullet"/>
      <w:lvlText w:val="-"/>
      <w:lvlJc w:val="left"/>
      <w:pPr>
        <w:ind w:left="120" w:hanging="1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0F86FC86">
      <w:numFmt w:val="bullet"/>
      <w:lvlText w:val="•"/>
      <w:lvlJc w:val="left"/>
      <w:pPr>
        <w:ind w:left="1180" w:hanging="165"/>
      </w:pPr>
      <w:rPr>
        <w:rFonts w:hint="default"/>
        <w:lang w:val="es-ES" w:eastAsia="en-US" w:bidi="ar-SA"/>
      </w:rPr>
    </w:lvl>
    <w:lvl w:ilvl="2" w:tplc="507AC0CE">
      <w:numFmt w:val="bullet"/>
      <w:lvlText w:val="•"/>
      <w:lvlJc w:val="left"/>
      <w:pPr>
        <w:ind w:left="2240" w:hanging="165"/>
      </w:pPr>
      <w:rPr>
        <w:rFonts w:hint="default"/>
        <w:lang w:val="es-ES" w:eastAsia="en-US" w:bidi="ar-SA"/>
      </w:rPr>
    </w:lvl>
    <w:lvl w:ilvl="3" w:tplc="49F49B44">
      <w:numFmt w:val="bullet"/>
      <w:lvlText w:val="•"/>
      <w:lvlJc w:val="left"/>
      <w:pPr>
        <w:ind w:left="3300" w:hanging="165"/>
      </w:pPr>
      <w:rPr>
        <w:rFonts w:hint="default"/>
        <w:lang w:val="es-ES" w:eastAsia="en-US" w:bidi="ar-SA"/>
      </w:rPr>
    </w:lvl>
    <w:lvl w:ilvl="4" w:tplc="2830334E">
      <w:numFmt w:val="bullet"/>
      <w:lvlText w:val="•"/>
      <w:lvlJc w:val="left"/>
      <w:pPr>
        <w:ind w:left="4360" w:hanging="165"/>
      </w:pPr>
      <w:rPr>
        <w:rFonts w:hint="default"/>
        <w:lang w:val="es-ES" w:eastAsia="en-US" w:bidi="ar-SA"/>
      </w:rPr>
    </w:lvl>
    <w:lvl w:ilvl="5" w:tplc="C6E240E8">
      <w:numFmt w:val="bullet"/>
      <w:lvlText w:val="•"/>
      <w:lvlJc w:val="left"/>
      <w:pPr>
        <w:ind w:left="5420" w:hanging="165"/>
      </w:pPr>
      <w:rPr>
        <w:rFonts w:hint="default"/>
        <w:lang w:val="es-ES" w:eastAsia="en-US" w:bidi="ar-SA"/>
      </w:rPr>
    </w:lvl>
    <w:lvl w:ilvl="6" w:tplc="5998B7C2">
      <w:numFmt w:val="bullet"/>
      <w:lvlText w:val="•"/>
      <w:lvlJc w:val="left"/>
      <w:pPr>
        <w:ind w:left="6480" w:hanging="165"/>
      </w:pPr>
      <w:rPr>
        <w:rFonts w:hint="default"/>
        <w:lang w:val="es-ES" w:eastAsia="en-US" w:bidi="ar-SA"/>
      </w:rPr>
    </w:lvl>
    <w:lvl w:ilvl="7" w:tplc="0524AAAE">
      <w:numFmt w:val="bullet"/>
      <w:lvlText w:val="•"/>
      <w:lvlJc w:val="left"/>
      <w:pPr>
        <w:ind w:left="7540" w:hanging="165"/>
      </w:pPr>
      <w:rPr>
        <w:rFonts w:hint="default"/>
        <w:lang w:val="es-ES" w:eastAsia="en-US" w:bidi="ar-SA"/>
      </w:rPr>
    </w:lvl>
    <w:lvl w:ilvl="8" w:tplc="6D70F34C">
      <w:numFmt w:val="bullet"/>
      <w:lvlText w:val="•"/>
      <w:lvlJc w:val="left"/>
      <w:pPr>
        <w:ind w:left="8600" w:hanging="165"/>
      </w:pPr>
      <w:rPr>
        <w:rFonts w:hint="default"/>
        <w:lang w:val="es-ES" w:eastAsia="en-US" w:bidi="ar-SA"/>
      </w:rPr>
    </w:lvl>
  </w:abstractNum>
  <w:abstractNum w:abstractNumId="2">
    <w:nsid w:val="4A6A0858"/>
    <w:multiLevelType w:val="hybridMultilevel"/>
    <w:tmpl w:val="A274A314"/>
    <w:lvl w:ilvl="0" w:tplc="E0C69262">
      <w:start w:val="1"/>
      <w:numFmt w:val="lowerLetter"/>
      <w:lvlText w:val="%1)"/>
      <w:lvlJc w:val="left"/>
      <w:pPr>
        <w:ind w:left="12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57466EDC">
      <w:numFmt w:val="bullet"/>
      <w:lvlText w:val="•"/>
      <w:lvlJc w:val="left"/>
      <w:pPr>
        <w:ind w:left="1180" w:hanging="300"/>
      </w:pPr>
      <w:rPr>
        <w:rFonts w:hint="default"/>
        <w:lang w:val="es-ES" w:eastAsia="en-US" w:bidi="ar-SA"/>
      </w:rPr>
    </w:lvl>
    <w:lvl w:ilvl="2" w:tplc="666E128E">
      <w:numFmt w:val="bullet"/>
      <w:lvlText w:val="•"/>
      <w:lvlJc w:val="left"/>
      <w:pPr>
        <w:ind w:left="2240" w:hanging="300"/>
      </w:pPr>
      <w:rPr>
        <w:rFonts w:hint="default"/>
        <w:lang w:val="es-ES" w:eastAsia="en-US" w:bidi="ar-SA"/>
      </w:rPr>
    </w:lvl>
    <w:lvl w:ilvl="3" w:tplc="580072E2">
      <w:numFmt w:val="bullet"/>
      <w:lvlText w:val="•"/>
      <w:lvlJc w:val="left"/>
      <w:pPr>
        <w:ind w:left="3300" w:hanging="300"/>
      </w:pPr>
      <w:rPr>
        <w:rFonts w:hint="default"/>
        <w:lang w:val="es-ES" w:eastAsia="en-US" w:bidi="ar-SA"/>
      </w:rPr>
    </w:lvl>
    <w:lvl w:ilvl="4" w:tplc="BE2891CE">
      <w:numFmt w:val="bullet"/>
      <w:lvlText w:val="•"/>
      <w:lvlJc w:val="left"/>
      <w:pPr>
        <w:ind w:left="4360" w:hanging="300"/>
      </w:pPr>
      <w:rPr>
        <w:rFonts w:hint="default"/>
        <w:lang w:val="es-ES" w:eastAsia="en-US" w:bidi="ar-SA"/>
      </w:rPr>
    </w:lvl>
    <w:lvl w:ilvl="5" w:tplc="2DA801DC">
      <w:numFmt w:val="bullet"/>
      <w:lvlText w:val="•"/>
      <w:lvlJc w:val="left"/>
      <w:pPr>
        <w:ind w:left="5420" w:hanging="300"/>
      </w:pPr>
      <w:rPr>
        <w:rFonts w:hint="default"/>
        <w:lang w:val="es-ES" w:eastAsia="en-US" w:bidi="ar-SA"/>
      </w:rPr>
    </w:lvl>
    <w:lvl w:ilvl="6" w:tplc="B2FABD04">
      <w:numFmt w:val="bullet"/>
      <w:lvlText w:val="•"/>
      <w:lvlJc w:val="left"/>
      <w:pPr>
        <w:ind w:left="6480" w:hanging="300"/>
      </w:pPr>
      <w:rPr>
        <w:rFonts w:hint="default"/>
        <w:lang w:val="es-ES" w:eastAsia="en-US" w:bidi="ar-SA"/>
      </w:rPr>
    </w:lvl>
    <w:lvl w:ilvl="7" w:tplc="B7EE98F2">
      <w:numFmt w:val="bullet"/>
      <w:lvlText w:val="•"/>
      <w:lvlJc w:val="left"/>
      <w:pPr>
        <w:ind w:left="7540" w:hanging="300"/>
      </w:pPr>
      <w:rPr>
        <w:rFonts w:hint="default"/>
        <w:lang w:val="es-ES" w:eastAsia="en-US" w:bidi="ar-SA"/>
      </w:rPr>
    </w:lvl>
    <w:lvl w:ilvl="8" w:tplc="F1EA2324">
      <w:numFmt w:val="bullet"/>
      <w:lvlText w:val="•"/>
      <w:lvlJc w:val="left"/>
      <w:pPr>
        <w:ind w:left="8600" w:hanging="30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C99"/>
    <w:rsid w:val="00452634"/>
    <w:rsid w:val="007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42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52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4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42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52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4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a.gov.ar/dppj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4097</Words>
  <Characters>22539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D:\livecycle\tmp\pdfg-LIVECYCLE04_\3c\5fd8-d49c5f-e8dcd6-644548-0dd148-eedece\File.html</vt:lpstr>
    </vt:vector>
  </TitlesOfParts>
  <Company/>
  <LinksUpToDate>false</LinksUpToDate>
  <CharactersWithSpaces>26583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D:\livecycle\tmp\pdfg-LIVECYCLE04_\3c\5fd8-d49c5f-e8dcd6-644548-0dd148-eedece\File.html</dc:title>
  <dc:creator>Hector</dc:creator>
  <cp:lastModifiedBy>Hector Tristan</cp:lastModifiedBy>
  <cp:revision>2</cp:revision>
  <dcterms:created xsi:type="dcterms:W3CDTF">2024-05-20T16:52:00Z</dcterms:created>
  <dcterms:modified xsi:type="dcterms:W3CDTF">2024-05-20T16:52:00Z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LastSaved">
    <vt:filetime>2024-05-20T00:00:00Z</vt:filetime>
  </property>
  <property fmtid="{D5CDD505-2E9C-101B-9397-08002B2CF9AE}" pid="4" name="Producer">
    <vt:lpwstr>Adobe LiveCycle PDF Generator ES3; modified using iText® 5.5.6 ©2000-2015 iText Group NV (AGPL-version)</vt:lpwstr>
  </property>
</Properties>
</file>