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F183" w14:textId="12EAFE3A" w:rsidR="00F5421A" w:rsidRPr="00B02C9F" w:rsidRDefault="00810430" w:rsidP="00810430">
      <w:pPr>
        <w:spacing w:after="0" w:line="400" w:lineRule="exact"/>
        <w:contextualSpacing/>
        <w:jc w:val="center"/>
        <w:outlineLvl w:val="0"/>
        <w:rPr>
          <w:rFonts w:ascii="Abadi" w:eastAsia="Times New Roman" w:hAnsi="Abadi" w:cs="Times New Roman"/>
          <w:b/>
          <w:bCs/>
          <w:kern w:val="36"/>
          <w:sz w:val="28"/>
          <w:szCs w:val="28"/>
          <w:lang w:eastAsia="es-AR"/>
          <w14:ligatures w14:val="none"/>
        </w:rPr>
      </w:pPr>
      <w:r w:rsidRPr="00B02C9F">
        <w:rPr>
          <w:rFonts w:ascii="Abadi" w:eastAsia="Times New Roman" w:hAnsi="Abadi" w:cs="Times New Roman"/>
          <w:b/>
          <w:bCs/>
          <w:color w:val="151515"/>
          <w:kern w:val="0"/>
          <w:sz w:val="28"/>
          <w:szCs w:val="28"/>
          <w:lang w:eastAsia="es-AR"/>
          <w14:ligatures w14:val="none"/>
        </w:rPr>
        <w:t>INVERSION EN PROYECTOS AGROPECUARIOS CON LOS FONDOS PROVENIENTES DEL BLANQUEO</w:t>
      </w:r>
    </w:p>
    <w:p w14:paraId="085B1362" w14:textId="77777777" w:rsidR="00F5421A" w:rsidRPr="00B02C9F" w:rsidRDefault="00F5421A" w:rsidP="00810430">
      <w:pPr>
        <w:spacing w:after="0" w:line="400" w:lineRule="exact"/>
        <w:contextualSpacing/>
        <w:jc w:val="center"/>
        <w:outlineLvl w:val="0"/>
        <w:rPr>
          <w:rFonts w:ascii="Abadi" w:eastAsia="Times New Roman" w:hAnsi="Abadi" w:cs="Times New Roman"/>
          <w:b/>
          <w:bCs/>
          <w:kern w:val="36"/>
          <w:sz w:val="28"/>
          <w:szCs w:val="28"/>
          <w:lang w:eastAsia="es-AR"/>
          <w14:ligatures w14:val="none"/>
        </w:rPr>
      </w:pPr>
    </w:p>
    <w:p w14:paraId="69740898" w14:textId="2EBDA79B" w:rsidR="00B577CC" w:rsidRPr="00B577CC" w:rsidRDefault="00B577CC" w:rsidP="00B577CC">
      <w:pPr>
        <w:shd w:val="clear" w:color="auto" w:fill="FFFFFF"/>
        <w:spacing w:after="300" w:line="400" w:lineRule="exact"/>
        <w:contextualSpacing/>
        <w:jc w:val="both"/>
        <w:rPr>
          <w:rFonts w:ascii="Abadi" w:hAnsi="Abadi"/>
          <w:color w:val="000000"/>
          <w:sz w:val="28"/>
          <w:szCs w:val="28"/>
          <w:shd w:val="clear" w:color="auto" w:fill="FFFFFF"/>
        </w:rPr>
      </w:pPr>
    </w:p>
    <w:p w14:paraId="426E3EF1" w14:textId="12F44C3F" w:rsidR="00B577CC" w:rsidRPr="002C040E" w:rsidRDefault="0091518F" w:rsidP="0091518F">
      <w:pPr>
        <w:shd w:val="clear" w:color="auto" w:fill="FFFFFF"/>
        <w:spacing w:after="300" w:line="400" w:lineRule="exact"/>
        <w:contextualSpacing/>
        <w:jc w:val="both"/>
        <w:rPr>
          <w:rFonts w:ascii="Abadi" w:hAnsi="Abadi"/>
          <w:sz w:val="28"/>
          <w:szCs w:val="28"/>
          <w:shd w:val="clear" w:color="auto" w:fill="FFFFFF"/>
        </w:rPr>
      </w:pPr>
      <w:r w:rsidRPr="002C040E">
        <w:rPr>
          <w:rFonts w:ascii="Abadi" w:hAnsi="Abadi"/>
          <w:sz w:val="28"/>
          <w:szCs w:val="28"/>
          <w:shd w:val="clear" w:color="auto" w:fill="FFFFFF"/>
        </w:rPr>
        <w:t xml:space="preserve">El </w:t>
      </w:r>
      <w:r w:rsidRPr="002C040E">
        <w:rPr>
          <w:rFonts w:ascii="Abadi" w:hAnsi="Abadi"/>
          <w:sz w:val="28"/>
          <w:szCs w:val="28"/>
          <w:shd w:val="clear" w:color="auto" w:fill="FFFFFF"/>
        </w:rPr>
        <w:t xml:space="preserve">Régimen de Regularización de Activos </w:t>
      </w:r>
      <w:r w:rsidRPr="002C040E">
        <w:rPr>
          <w:rFonts w:ascii="Abadi" w:hAnsi="Abadi"/>
          <w:sz w:val="28"/>
          <w:szCs w:val="28"/>
          <w:shd w:val="clear" w:color="auto" w:fill="FFFFFF"/>
        </w:rPr>
        <w:t xml:space="preserve">fue puesto en vigencia </w:t>
      </w:r>
      <w:r w:rsidR="002C040E" w:rsidRPr="002C040E">
        <w:rPr>
          <w:rFonts w:ascii="Abadi" w:hAnsi="Abadi"/>
          <w:sz w:val="28"/>
          <w:szCs w:val="28"/>
          <w:shd w:val="clear" w:color="auto" w:fill="FFFFFF"/>
        </w:rPr>
        <w:t>por la</w:t>
      </w:r>
      <w:r w:rsidRPr="002C040E">
        <w:rPr>
          <w:rFonts w:ascii="Abadi" w:hAnsi="Abadi"/>
          <w:sz w:val="28"/>
          <w:szCs w:val="28"/>
          <w:shd w:val="clear" w:color="auto" w:fill="FFFFFF"/>
        </w:rPr>
        <w:t xml:space="preserve"> Ley 27743, también conocida como "Ley de Regularización de Activos", estableció un régimen especial para la regularización de activos no declarados</w:t>
      </w:r>
      <w:r w:rsidR="002C040E">
        <w:rPr>
          <w:rFonts w:ascii="Abadi" w:hAnsi="Abadi"/>
          <w:sz w:val="28"/>
          <w:szCs w:val="28"/>
          <w:shd w:val="clear" w:color="auto" w:fill="FFFFFF"/>
        </w:rPr>
        <w:t>, incluyendo la exteriorización de dinero en efectivo sin tope y sin costo, beneficio sujeto a ciertos requisitos incluyendo a las inversiones inmobiliarias en el sector agropecuario.</w:t>
      </w:r>
    </w:p>
    <w:p w14:paraId="52B901F2" w14:textId="77777777" w:rsidR="0091518F" w:rsidRPr="002C040E" w:rsidRDefault="0091518F" w:rsidP="0091518F">
      <w:pPr>
        <w:shd w:val="clear" w:color="auto" w:fill="FFFFFF"/>
        <w:spacing w:after="300" w:line="400" w:lineRule="exact"/>
        <w:contextualSpacing/>
        <w:jc w:val="both"/>
        <w:rPr>
          <w:rFonts w:ascii="Abadi" w:hAnsi="Abadi"/>
          <w:sz w:val="28"/>
          <w:szCs w:val="28"/>
          <w:shd w:val="clear" w:color="auto" w:fill="FFFFFF"/>
        </w:rPr>
      </w:pPr>
    </w:p>
    <w:p w14:paraId="6E1B5EEA" w14:textId="5E5ECEED" w:rsidR="00B02C9F" w:rsidRPr="002C040E" w:rsidRDefault="00B577CC" w:rsidP="00B02C9F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2C040E">
        <w:rPr>
          <w:rFonts w:ascii="Abadi" w:hAnsi="Abadi"/>
          <w:sz w:val="28"/>
          <w:szCs w:val="28"/>
          <w:shd w:val="clear" w:color="auto" w:fill="FFFFFF"/>
        </w:rPr>
        <w:t>Recordemos</w:t>
      </w:r>
      <w:r w:rsidR="002C040E">
        <w:rPr>
          <w:rFonts w:ascii="Abadi" w:hAnsi="Abadi"/>
          <w:sz w:val="28"/>
          <w:szCs w:val="28"/>
          <w:shd w:val="clear" w:color="auto" w:fill="FFFFFF"/>
        </w:rPr>
        <w:t xml:space="preserve"> que el </w:t>
      </w:r>
      <w:proofErr w:type="spellStart"/>
      <w:r w:rsidR="002C040E">
        <w:rPr>
          <w:rFonts w:ascii="Abadi" w:hAnsi="Abadi"/>
          <w:sz w:val="28"/>
          <w:szCs w:val="28"/>
          <w:shd w:val="clear" w:color="auto" w:fill="FFFFFF"/>
        </w:rPr>
        <w:t>regimen</w:t>
      </w:r>
      <w:proofErr w:type="spellEnd"/>
      <w:r w:rsidRPr="002C040E">
        <w:rPr>
          <w:rFonts w:ascii="Abadi" w:hAnsi="Abadi"/>
          <w:sz w:val="28"/>
          <w:szCs w:val="28"/>
          <w:shd w:val="clear" w:color="auto" w:fill="FFFFFF"/>
        </w:rPr>
        <w:t xml:space="preserve"> 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tiene tres etapas y cuanto antes se ingrese</w:t>
      </w:r>
      <w:r w:rsid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al mismo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, menor será la alícuota</w:t>
      </w:r>
      <w:r w:rsidR="0091518F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a pagar por los adherentes.</w:t>
      </w:r>
    </w:p>
    <w:p w14:paraId="63FD252B" w14:textId="77777777" w:rsidR="00B577CC" w:rsidRPr="0099768E" w:rsidRDefault="00B577CC" w:rsidP="00B02C9F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2B1521B5" w14:textId="77777777" w:rsidR="00B02C9F" w:rsidRPr="0099768E" w:rsidRDefault="00B02C9F" w:rsidP="00B02C9F">
      <w:pPr>
        <w:numPr>
          <w:ilvl w:val="0"/>
          <w:numId w:val="1"/>
        </w:numPr>
        <w:shd w:val="clear" w:color="auto" w:fill="FFFFFF"/>
        <w:spacing w:after="0" w:line="400" w:lineRule="exact"/>
        <w:ind w:left="1020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Etapa 1: hasta el 30 de septiembre de 2024, se abona una alícuota del 5% sobre el excedente de u$s100.000.</w:t>
      </w:r>
    </w:p>
    <w:p w14:paraId="64BAE967" w14:textId="77777777" w:rsidR="00B02C9F" w:rsidRPr="0099768E" w:rsidRDefault="00B02C9F" w:rsidP="00B02C9F">
      <w:pPr>
        <w:numPr>
          <w:ilvl w:val="0"/>
          <w:numId w:val="1"/>
        </w:numPr>
        <w:shd w:val="clear" w:color="auto" w:fill="FFFFFF"/>
        <w:spacing w:after="0" w:line="400" w:lineRule="exact"/>
        <w:ind w:left="1020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Etapa 2: hasta el 31 de diciembre de 2024, la alícuota es del 10%.</w:t>
      </w:r>
    </w:p>
    <w:p w14:paraId="71990DA6" w14:textId="77777777" w:rsidR="00B02C9F" w:rsidRPr="0099768E" w:rsidRDefault="00B02C9F" w:rsidP="00B02C9F">
      <w:pPr>
        <w:numPr>
          <w:ilvl w:val="0"/>
          <w:numId w:val="1"/>
        </w:numPr>
        <w:shd w:val="clear" w:color="auto" w:fill="FFFFFF"/>
        <w:spacing w:after="0" w:line="400" w:lineRule="exact"/>
        <w:ind w:left="1020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Etapa 3: hasta el 31 de marzo de 2025, la alícuota asciende al 15%.</w:t>
      </w:r>
    </w:p>
    <w:p w14:paraId="17AD9577" w14:textId="77777777" w:rsidR="00B02C9F" w:rsidRPr="002C040E" w:rsidRDefault="00B02C9F" w:rsidP="00B02C9F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794BA8F4" w14:textId="77777777" w:rsidR="00B02C9F" w:rsidRPr="002C040E" w:rsidRDefault="00B02C9F" w:rsidP="00B02C9F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El procedimiento consiste, primero, en manifestar la adhesión. Por ejemplo, para la primera etapa la manifestación de la adhesión es hasta el 30 de septiembre, y el pago anticipado del 75% si corresponde impuesto. Posteriormente, hasta el 30 de noviembre, se debe presentar la declaración jurada, que estará disponible después del cierre de cada etapa de adhesión.</w:t>
      </w:r>
    </w:p>
    <w:p w14:paraId="669D97B8" w14:textId="77777777" w:rsidR="00B02C9F" w:rsidRPr="0099768E" w:rsidRDefault="00B02C9F" w:rsidP="00B02C9F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051D3D48" w14:textId="561BC425" w:rsidR="00B02C9F" w:rsidRPr="002C040E" w:rsidRDefault="00B577CC" w:rsidP="00B02C9F">
      <w:pPr>
        <w:shd w:val="clear" w:color="auto" w:fill="FFFFFF"/>
        <w:spacing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E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l </w:t>
      </w:r>
      <w:r w:rsidR="0091518F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régimen de regularización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permite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</w:t>
      </w:r>
      <w:r w:rsidR="0091518F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exteriorizar 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dinero en efectivo sin tope y 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sin costo, si se mantiene el </w:t>
      </w:r>
      <w:r w:rsidR="00773BFF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mismo en</w:t>
      </w:r>
      <w:r w:rsidR="00B02C9F" w:rsidRPr="0099768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el sistema financiero hasta el 31 de diciembre de 2025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(si supera U$S 100 mil) y también si se </w:t>
      </w:r>
      <w:r w:rsidR="0091518F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aplica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(entre otros destinos) a determinadas inversiones inmobiliarias.</w:t>
      </w:r>
    </w:p>
    <w:p w14:paraId="0308D38C" w14:textId="77777777" w:rsidR="00773BFF" w:rsidRPr="002C040E" w:rsidRDefault="00773BFF" w:rsidP="00B02C9F">
      <w:pPr>
        <w:shd w:val="clear" w:color="auto" w:fill="FFFFFF"/>
        <w:spacing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62BF7F67" w14:textId="0D764A47" w:rsidR="002C040E" w:rsidRPr="007852E5" w:rsidRDefault="00773BFF" w:rsidP="002C040E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lastRenderedPageBreak/>
        <w:t xml:space="preserve">Antes de ingresar </w:t>
      </w:r>
      <w:r w:rsidR="002C040E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a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los detalles de su reglamentación, podemos afirmar que para el sector agropecuario resuelta un instrumento muy eficaz para incorporar a la actividad formal dinero </w:t>
      </w:r>
      <w:r w:rsidR="002C040E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generado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fuera del sistema</w:t>
      </w:r>
      <w:r w:rsidR="002C040E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formal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, evita</w:t>
      </w:r>
      <w:r w:rsidR="002C040E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ndo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 el pago de costo alguno en la medida que se lo destine a la inversión </w:t>
      </w:r>
      <w:r w:rsidR="002C040E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inmobiliaria mediante la </w:t>
      </w:r>
      <w:r w:rsidR="002C040E" w:rsidRPr="007852E5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celebración de contratos de locación de obra o de similar naturaleza, sobre inmueble propio</w:t>
      </w:r>
      <w:r w:rsidR="002C040E" w:rsidRPr="007852E5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, c</w:t>
      </w:r>
      <w:r w:rsidR="002C040E" w:rsidRPr="007852E5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on destino a fines productivos.</w:t>
      </w:r>
      <w:r w:rsidR="002C040E" w:rsidRPr="007852E5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</w:t>
      </w:r>
    </w:p>
    <w:p w14:paraId="08D505CE" w14:textId="77777777" w:rsidR="002C040E" w:rsidRPr="002C040E" w:rsidRDefault="002C040E" w:rsidP="002C040E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</w:pPr>
    </w:p>
    <w:p w14:paraId="0770ECC0" w14:textId="524D433F" w:rsidR="00F5421A" w:rsidRPr="002C040E" w:rsidRDefault="002C040E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La 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Administración Federal de Ingresos Públicos (AFIP) a través de la Resolución General N.º 5549/24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puso en marcha el blanqueo para inversiones inmobiliarias, que se aprobó en el paquete fiscal junto con la Ley Bases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, que se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implementará mediante el Registro de Proyectos Inmobiliarios (REPI)</w:t>
      </w:r>
      <w:r w:rsidR="00B577CC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, permitiendo </w:t>
      </w:r>
      <w:r w:rsidR="00F5421A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informar obras para poder afectar los fondos regularizados, sin tope y sin costo, en el marco del Régimen de Regularización de Activos de la Ley de Medidas Fiscales Paliativas y Relevantes. </w:t>
      </w:r>
    </w:p>
    <w:p w14:paraId="382C496E" w14:textId="77777777" w:rsidR="00F5421A" w:rsidRPr="002C040E" w:rsidRDefault="00F5421A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</w:pPr>
    </w:p>
    <w:p w14:paraId="6A440C47" w14:textId="2316AE5F" w:rsidR="00F5421A" w:rsidRPr="002C040E" w:rsidRDefault="00F5421A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En el registro, se incluirán inversiones directas o indirectas en construcciones de edificios residenciales, no residenciales, rurales, loteo de predios, reformas, ampliaciones, instalaciones, mejoras y todo proyecto que, de acuerdo con los códigos de edificación o disposiciones semejantes, requiera denuncia, autorización o aprobación de autoridad competente.</w:t>
      </w:r>
    </w:p>
    <w:p w14:paraId="1166CFCE" w14:textId="77777777" w:rsidR="00F5421A" w:rsidRPr="002C040E" w:rsidRDefault="00F5421A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</w:pPr>
    </w:p>
    <w:p w14:paraId="4B0465AB" w14:textId="4CE50830" w:rsidR="00F5421A" w:rsidRPr="002C040E" w:rsidRDefault="00F5421A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Resulta muy importante destacar que el Ministerio de Economía a través de su Resolución</w:t>
      </w: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613/2024</w:t>
      </w: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</w:t>
      </w:r>
      <w:r w:rsidR="00810430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amplio la definición de proyectos inmobiliarios </w:t>
      </w: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 xml:space="preserve"> alcanzados por este beneficio</w:t>
      </w:r>
      <w:r w:rsidR="00810430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, “</w:t>
      </w:r>
      <w:r w:rsidRPr="002C040E"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  <w:t xml:space="preserve">Se entiende como inversiones en proyectos inmobiliarios, sea de manera directa o a través de terceros, a aquellas que, según corresponda, se efectivicen, por ejemplo, </w:t>
      </w:r>
      <w:r w:rsidR="00810430" w:rsidRPr="002C040E"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  <w:t xml:space="preserve">……” </w:t>
      </w:r>
      <w:r w:rsidR="00810430"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incorporando a</w:t>
      </w:r>
      <w:r w:rsidR="00810430" w:rsidRPr="002C040E"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  <w:t xml:space="preserve"> “</w:t>
      </w:r>
      <w:r w:rsidRPr="002C040E"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  <w:t>la celebración de contratos de locación de obra o de similar naturaleza, para el caso de obras sobre inmueble propio con destino a fines industriales o productivos.</w:t>
      </w:r>
      <w:r w:rsidR="00810430" w:rsidRPr="002C040E"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  <w:t>”</w:t>
      </w:r>
    </w:p>
    <w:p w14:paraId="5C82BC85" w14:textId="77777777" w:rsidR="00810430" w:rsidRPr="002C040E" w:rsidRDefault="00810430" w:rsidP="00F5421A">
      <w:pPr>
        <w:spacing w:after="0" w:line="400" w:lineRule="exact"/>
        <w:contextualSpacing/>
        <w:jc w:val="both"/>
        <w:outlineLvl w:val="0"/>
        <w:rPr>
          <w:rFonts w:ascii="Abadi" w:eastAsia="Times New Roman" w:hAnsi="Abadi" w:cs="Times New Roman"/>
          <w:i/>
          <w:iCs/>
          <w:kern w:val="36"/>
          <w:sz w:val="28"/>
          <w:szCs w:val="28"/>
          <w:lang w:eastAsia="es-AR"/>
          <w14:ligatures w14:val="none"/>
        </w:rPr>
      </w:pPr>
    </w:p>
    <w:p w14:paraId="1BC58506" w14:textId="22C7EA5D" w:rsidR="00810430" w:rsidRPr="002C040E" w:rsidRDefault="00810430" w:rsidP="00810430">
      <w:pPr>
        <w:spacing w:after="0" w:line="400" w:lineRule="exact"/>
        <w:contextualSpacing/>
        <w:jc w:val="both"/>
        <w:outlineLvl w:val="0"/>
        <w:rPr>
          <w:rFonts w:ascii="Abadi" w:eastAsia="Times New Roman" w:hAnsi="Abadi" w:cs="Arial"/>
          <w:kern w:val="0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36"/>
          <w:sz w:val="28"/>
          <w:szCs w:val="28"/>
          <w:lang w:eastAsia="es-AR"/>
          <w14:ligatures w14:val="none"/>
        </w:rPr>
        <w:t>Recordemos que “</w:t>
      </w:r>
      <w:r w:rsidRPr="002561CD">
        <w:rPr>
          <w:rFonts w:ascii="Abadi" w:eastAsia="Times New Roman" w:hAnsi="Abadi" w:cs="Arial"/>
          <w:kern w:val="0"/>
          <w:sz w:val="28"/>
          <w:szCs w:val="28"/>
          <w:lang w:eastAsia="es-AR"/>
          <w14:ligatures w14:val="none"/>
        </w:rPr>
        <w:t xml:space="preserve">Hay contrato de obra o de servicios cuando una persona, según el caso el contratista o el prestador de servicios, </w:t>
      </w:r>
      <w:r w:rsidRPr="002561CD">
        <w:rPr>
          <w:rFonts w:ascii="Abadi" w:eastAsia="Times New Roman" w:hAnsi="Abadi" w:cs="Arial"/>
          <w:kern w:val="0"/>
          <w:sz w:val="28"/>
          <w:szCs w:val="28"/>
          <w:lang w:eastAsia="es-AR"/>
          <w14:ligatures w14:val="none"/>
        </w:rPr>
        <w:lastRenderedPageBreak/>
        <w:t>actuando independientemente, se obliga a favor de otra, llamada comitente, a realizar una obra material o intelectual o a proveer un servicio mediante una retribución.</w:t>
      </w:r>
      <w:r w:rsidRPr="002C040E">
        <w:rPr>
          <w:rFonts w:ascii="Abadi" w:eastAsia="Times New Roman" w:hAnsi="Abadi" w:cs="Arial"/>
          <w:kern w:val="0"/>
          <w:sz w:val="28"/>
          <w:szCs w:val="28"/>
          <w:lang w:eastAsia="es-AR"/>
          <w14:ligatures w14:val="none"/>
        </w:rPr>
        <w:t>”</w:t>
      </w:r>
    </w:p>
    <w:p w14:paraId="3E198DE1" w14:textId="77777777" w:rsidR="00810430" w:rsidRPr="002C040E" w:rsidRDefault="00810430" w:rsidP="00810430">
      <w:pPr>
        <w:spacing w:after="0" w:line="400" w:lineRule="exact"/>
        <w:contextualSpacing/>
        <w:jc w:val="both"/>
        <w:outlineLvl w:val="0"/>
        <w:rPr>
          <w:rFonts w:ascii="Abadi" w:eastAsia="Times New Roman" w:hAnsi="Abadi" w:cs="Arial"/>
          <w:kern w:val="0"/>
          <w:sz w:val="28"/>
          <w:szCs w:val="28"/>
          <w:lang w:eastAsia="es-AR"/>
          <w14:ligatures w14:val="none"/>
        </w:rPr>
      </w:pPr>
    </w:p>
    <w:p w14:paraId="77A47E41" w14:textId="353E4AB0" w:rsidR="00810430" w:rsidRPr="002C040E" w:rsidRDefault="007271FC" w:rsidP="00810430">
      <w:pPr>
        <w:shd w:val="clear" w:color="auto" w:fill="FFFFFF"/>
        <w:spacing w:after="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En consonancia con lo establecido en la Resolución del Ministerio de Economía, la </w:t>
      </w:r>
      <w:r w:rsidR="00810430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Resolución General 5549/2024 no limita la posibilidad de invertir en proyectos agropecuarios con los fondos provenientes del régimen de regularización de activos</w:t>
      </w:r>
      <w:r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 xml:space="preserve">, requiriendo </w:t>
      </w:r>
      <w:r w:rsidR="00810430" w:rsidRPr="002C040E"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que la inversión se realice a través de un proyecto inmobiliario, como un desarrollo agropecuario en un predio rural.</w:t>
      </w:r>
    </w:p>
    <w:p w14:paraId="7C8C725B" w14:textId="77777777" w:rsidR="00810430" w:rsidRPr="002C040E" w:rsidRDefault="00810430" w:rsidP="00810430">
      <w:pPr>
        <w:shd w:val="clear" w:color="auto" w:fill="FFFFFF"/>
        <w:spacing w:after="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74ADBBD9" w14:textId="0FE581B3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Para poder registrar alguno de los proyectos regulados se </w:t>
      </w:r>
      <w:r w:rsidR="0091518F"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deberá</w:t>
      </w: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: </w:t>
      </w:r>
    </w:p>
    <w:p w14:paraId="480C6653" w14:textId="77777777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 </w:t>
      </w:r>
    </w:p>
    <w:p w14:paraId="1EBE469C" w14:textId="77777777" w:rsidR="007271FC" w:rsidRPr="002561CD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Utilizar la respectiva “Clave Fiscal” habilitada con Nivel de Seguridad 3;</w:t>
      </w:r>
    </w:p>
    <w:p w14:paraId="04A79AF4" w14:textId="77777777" w:rsidR="007271FC" w:rsidRPr="002561CD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Poseer el estado administrativo de la Clave Única de Identificación Tributaria (CUIT) “Activo: Sin Limitaciones”;</w:t>
      </w:r>
    </w:p>
    <w:p w14:paraId="2CF032AC" w14:textId="77777777" w:rsidR="007271FC" w:rsidRPr="002561CD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Declarar y mantener actualizado ante este Organismo el domicilio fiscal;</w:t>
      </w:r>
    </w:p>
    <w:p w14:paraId="15D4B486" w14:textId="77777777" w:rsidR="007271FC" w:rsidRPr="002561CD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Poseer Domicilio Fiscal Electrónico;</w:t>
      </w:r>
    </w:p>
    <w:p w14:paraId="1C1E2976" w14:textId="77777777" w:rsidR="007271FC" w:rsidRPr="002561CD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Registrar alta en algún impuesto;</w:t>
      </w:r>
    </w:p>
    <w:p w14:paraId="4C2950DC" w14:textId="77777777" w:rsidR="007271FC" w:rsidRPr="002C040E" w:rsidRDefault="007271FC" w:rsidP="0072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Con carácter previo, deberá informarse el domicilio del proyecto en el “Sistema Registral”, “Registro Único Tributario” dentro del apartado “Domicilios”, sección “Otros Domicilios”, como “Locales y Establecimientos”, destino comercial “Obras en construcción”</w:t>
      </w:r>
    </w:p>
    <w:p w14:paraId="21E50B05" w14:textId="77777777" w:rsidR="007271FC" w:rsidRPr="002561CD" w:rsidRDefault="007271FC" w:rsidP="007271FC">
      <w:pPr>
        <w:shd w:val="clear" w:color="auto" w:fill="FFFFFF"/>
        <w:spacing w:before="100" w:beforeAutospacing="1" w:after="100" w:afterAutospacing="1" w:line="400" w:lineRule="exact"/>
        <w:ind w:left="720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</w:p>
    <w:p w14:paraId="680FDC37" w14:textId="0927F20A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El desarrollador que pretenda obtener el “Registro de Proyectos Inmobiliarios (REPI)” tiene que ingresar a la </w:t>
      </w:r>
      <w:proofErr w:type="spellStart"/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pagina</w:t>
      </w:r>
      <w:proofErr w:type="spellEnd"/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web de </w:t>
      </w:r>
      <w:proofErr w:type="gramStart"/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AFIP  y</w:t>
      </w:r>
      <w:proofErr w:type="gramEnd"/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deberá seleccionar 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la</w:t>
      </w: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opción: </w:t>
      </w:r>
    </w:p>
    <w:p w14:paraId="43801115" w14:textId="77777777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 </w:t>
      </w:r>
    </w:p>
    <w:p w14:paraId="7082D297" w14:textId="77777777" w:rsidR="007271FC" w:rsidRPr="002C040E" w:rsidRDefault="007271FC" w:rsidP="007271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Perfil “Contratista”, opción “Registro del contrato”.</w:t>
      </w:r>
    </w:p>
    <w:p w14:paraId="5D62867B" w14:textId="77777777" w:rsidR="007271FC" w:rsidRPr="002561CD" w:rsidRDefault="007271FC" w:rsidP="007271FC">
      <w:pPr>
        <w:shd w:val="clear" w:color="auto" w:fill="FFFFFF"/>
        <w:spacing w:before="100" w:beforeAutospacing="1" w:after="100" w:afterAutospacing="1" w:line="400" w:lineRule="exact"/>
        <w:ind w:left="720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</w:p>
    <w:p w14:paraId="65D5D374" w14:textId="77777777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lastRenderedPageBreak/>
        <w:t>Ahora bien, el desarrollador que obtenga el REPI deberá conservar a disposición de esta Administración Federal, la documentación de respaldo que, en cada caso:</w:t>
      </w:r>
    </w:p>
    <w:p w14:paraId="571DF8DC" w14:textId="77777777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 </w:t>
      </w:r>
    </w:p>
    <w:p w14:paraId="7F033DB5" w14:textId="77777777" w:rsidR="007271FC" w:rsidRPr="002C040E" w:rsidRDefault="007271FC" w:rsidP="00727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Contratos de locación de obra o de similar naturaleza: el contrato celebrado.</w:t>
      </w:r>
    </w:p>
    <w:p w14:paraId="4790444F" w14:textId="77777777" w:rsidR="007271FC" w:rsidRPr="002561CD" w:rsidRDefault="007271FC" w:rsidP="007271FC">
      <w:pPr>
        <w:shd w:val="clear" w:color="auto" w:fill="FFFFFF"/>
        <w:spacing w:before="100" w:beforeAutospacing="1" w:after="100" w:afterAutospacing="1" w:line="400" w:lineRule="exact"/>
        <w:ind w:left="720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</w:p>
    <w:p w14:paraId="3A63425D" w14:textId="7706B18C" w:rsidR="007271FC" w:rsidRPr="002C040E" w:rsidRDefault="007271FC" w:rsidP="007271FC">
      <w:pPr>
        <w:shd w:val="clear" w:color="auto" w:fill="FFFFFF"/>
        <w:spacing w:after="30" w:line="400" w:lineRule="exact"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Una vez que el REPI es aprobado por la </w:t>
      </w:r>
      <w:proofErr w:type="gramStart"/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AFIP  el</w:t>
      </w:r>
      <w:proofErr w:type="gramEnd"/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sistema generará un código que permitirá identificar a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l 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proyecto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: 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Perfil “Contratista”: el sistema generará un “Código de Contrato de Locación de Obra (COCLO)”.</w:t>
      </w:r>
    </w:p>
    <w:p w14:paraId="0CF5BC23" w14:textId="77777777" w:rsidR="007271FC" w:rsidRPr="002561CD" w:rsidRDefault="007271FC" w:rsidP="007271FC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 </w:t>
      </w:r>
    </w:p>
    <w:p w14:paraId="2B78B813" w14:textId="4F0029B8" w:rsidR="00B02C9F" w:rsidRDefault="00B02C9F" w:rsidP="00B02C9F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Los sujetos que regularicen activos mediante </w:t>
      </w:r>
      <w:r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este tipo de </w:t>
      </w:r>
      <w:r w:rsidR="00B577CC"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contratos deberán</w:t>
      </w: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proporcionar a la entidad bancaria el COCLO </w:t>
      </w:r>
      <w:r w:rsidR="0091518F" w:rsidRPr="002C040E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asignado.</w:t>
      </w:r>
    </w:p>
    <w:p w14:paraId="336146AA" w14:textId="77777777" w:rsidR="002C040E" w:rsidRDefault="002C040E" w:rsidP="00B02C9F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</w:p>
    <w:p w14:paraId="09088C6C" w14:textId="0AE3F5F0" w:rsidR="002C040E" w:rsidRPr="002561CD" w:rsidRDefault="002C040E" w:rsidP="00B02C9F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Los plazos para aprovechar esta “bala de plata” son muy cortos (el plazo para blanquear efectivo sin costo y sin tope vence el 30 de setiembre próximo), pero resulta muy aconsejable que el lector se detenga y analice con detenimiento los beneficios citados, son muy importantes y </w:t>
      </w:r>
      <w:proofErr w:type="gramStart"/>
      <w:r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de acuerdo a</w:t>
      </w:r>
      <w:proofErr w:type="gramEnd"/>
      <w:r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 xml:space="preserve"> los anuncios del Poder Ejecutivo no habrá otro régimen similar por “mucho tiempo”</w:t>
      </w:r>
    </w:p>
    <w:p w14:paraId="513A6A72" w14:textId="77777777" w:rsidR="00B02C9F" w:rsidRPr="002561CD" w:rsidRDefault="00B02C9F" w:rsidP="00B02C9F">
      <w:pPr>
        <w:shd w:val="clear" w:color="auto" w:fill="FFFFFF"/>
        <w:spacing w:after="30" w:line="400" w:lineRule="exact"/>
        <w:contextualSpacing/>
        <w:jc w:val="both"/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</w:pPr>
      <w:r w:rsidRPr="002561CD">
        <w:rPr>
          <w:rFonts w:ascii="Abadi" w:eastAsia="Times New Roman" w:hAnsi="Abadi" w:cs="Segoe UI"/>
          <w:kern w:val="0"/>
          <w:sz w:val="28"/>
          <w:szCs w:val="28"/>
          <w:lang w:eastAsia="es-AR"/>
          <w14:ligatures w14:val="none"/>
        </w:rPr>
        <w:t> </w:t>
      </w:r>
    </w:p>
    <w:p w14:paraId="533BC872" w14:textId="606A50FF" w:rsidR="007271FC" w:rsidRPr="002C040E" w:rsidRDefault="002C040E" w:rsidP="00F5421A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  <w:r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  <w:t>CPN Hector Tristan</w:t>
      </w:r>
    </w:p>
    <w:p w14:paraId="487C532E" w14:textId="77777777" w:rsidR="00B577CC" w:rsidRPr="002C040E" w:rsidRDefault="00B577CC" w:rsidP="00F5421A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7DA5B811" w14:textId="77777777" w:rsidR="00B577CC" w:rsidRPr="002C040E" w:rsidRDefault="00B577CC" w:rsidP="00F5421A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p w14:paraId="791997C2" w14:textId="77777777" w:rsidR="002C040E" w:rsidRPr="002C040E" w:rsidRDefault="002C040E">
      <w:pPr>
        <w:shd w:val="clear" w:color="auto" w:fill="FFFFFF"/>
        <w:spacing w:after="300" w:line="400" w:lineRule="exact"/>
        <w:contextualSpacing/>
        <w:jc w:val="both"/>
        <w:rPr>
          <w:rFonts w:ascii="Abadi" w:eastAsia="Times New Roman" w:hAnsi="Abadi" w:cs="Times New Roman"/>
          <w:kern w:val="0"/>
          <w:sz w:val="28"/>
          <w:szCs w:val="28"/>
          <w:lang w:eastAsia="es-AR"/>
          <w14:ligatures w14:val="none"/>
        </w:rPr>
      </w:pPr>
    </w:p>
    <w:sectPr w:rsidR="002C040E" w:rsidRPr="002C0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1C5"/>
    <w:multiLevelType w:val="multilevel"/>
    <w:tmpl w:val="2B8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82281"/>
    <w:multiLevelType w:val="multilevel"/>
    <w:tmpl w:val="D9D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84685"/>
    <w:multiLevelType w:val="multilevel"/>
    <w:tmpl w:val="36A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71EB9"/>
    <w:multiLevelType w:val="hybridMultilevel"/>
    <w:tmpl w:val="BD46DE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37B77"/>
    <w:multiLevelType w:val="multilevel"/>
    <w:tmpl w:val="AB0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A38CB"/>
    <w:multiLevelType w:val="multilevel"/>
    <w:tmpl w:val="108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993135">
    <w:abstractNumId w:val="0"/>
  </w:num>
  <w:num w:numId="2" w16cid:durableId="923027092">
    <w:abstractNumId w:val="2"/>
  </w:num>
  <w:num w:numId="3" w16cid:durableId="1061246219">
    <w:abstractNumId w:val="5"/>
  </w:num>
  <w:num w:numId="4" w16cid:durableId="1913005651">
    <w:abstractNumId w:val="1"/>
  </w:num>
  <w:num w:numId="5" w16cid:durableId="499321808">
    <w:abstractNumId w:val="4"/>
  </w:num>
  <w:num w:numId="6" w16cid:durableId="8573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8E"/>
    <w:rsid w:val="00035011"/>
    <w:rsid w:val="000C6A5E"/>
    <w:rsid w:val="001418E2"/>
    <w:rsid w:val="002561CD"/>
    <w:rsid w:val="0026092B"/>
    <w:rsid w:val="002C040E"/>
    <w:rsid w:val="004D1510"/>
    <w:rsid w:val="00722477"/>
    <w:rsid w:val="007271FC"/>
    <w:rsid w:val="00773BFF"/>
    <w:rsid w:val="007852E5"/>
    <w:rsid w:val="00810430"/>
    <w:rsid w:val="0091518F"/>
    <w:rsid w:val="0099768E"/>
    <w:rsid w:val="00B02C9F"/>
    <w:rsid w:val="00B577CC"/>
    <w:rsid w:val="00DF3700"/>
    <w:rsid w:val="00F12DEA"/>
    <w:rsid w:val="00F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5586"/>
  <w15:chartTrackingRefBased/>
  <w15:docId w15:val="{C5B967A3-2FDE-492F-B66B-583C5AD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7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7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7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7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7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7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7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7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7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76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76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76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76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76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76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7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7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7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76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76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76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7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76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76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C6A5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C6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3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7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390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4C9EC"/>
            <w:right w:val="none" w:sz="0" w:space="0" w:color="auto"/>
          </w:divBdr>
          <w:divsChild>
            <w:div w:id="1892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3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61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601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Tristan</dc:creator>
  <cp:keywords/>
  <dc:description/>
  <cp:lastModifiedBy>Hector Tristan</cp:lastModifiedBy>
  <cp:revision>2</cp:revision>
  <dcterms:created xsi:type="dcterms:W3CDTF">2024-09-17T13:49:00Z</dcterms:created>
  <dcterms:modified xsi:type="dcterms:W3CDTF">2024-09-17T15:32:00Z</dcterms:modified>
</cp:coreProperties>
</file>